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194D9">
      <w:pPr>
        <w:pStyle w:val="10"/>
        <w:widowControl/>
        <w:jc w:val="center"/>
        <w:outlineLvl w:val="1"/>
        <w:rPr>
          <w:rFonts w:hint="eastAsia" w:ascii="宋体" w:hAnsi="宋体" w:eastAsia="宋体" w:cs="宋体"/>
          <w:color w:val="auto"/>
          <w:highlight w:val="none"/>
          <w:lang w:val="en-US"/>
        </w:rPr>
      </w:pPr>
      <w:r>
        <w:rPr>
          <w:rFonts w:hint="eastAsia" w:ascii="宋体" w:hAnsi="宋体" w:eastAsia="宋体" w:cs="宋体"/>
          <w:b/>
          <w:bCs w:val="0"/>
          <w:color w:val="auto"/>
          <w:sz w:val="36"/>
          <w:szCs w:val="20"/>
          <w:highlight w:val="none"/>
          <w:lang w:eastAsia="zh-CN"/>
        </w:rPr>
        <w:t>采购需求</w:t>
      </w:r>
    </w:p>
    <w:p w14:paraId="5194A2BB">
      <w:pPr>
        <w:pStyle w:val="2"/>
        <w:widowControl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一、移植检测项目汇总表</w:t>
      </w:r>
    </w:p>
    <w:tbl>
      <w:tblPr>
        <w:tblStyle w:val="7"/>
        <w:tblW w:w="91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3786"/>
        <w:gridCol w:w="3078"/>
        <w:gridCol w:w="1631"/>
      </w:tblGrid>
      <w:tr w14:paraId="2EB18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移植检测项目汇总表</w:t>
            </w:r>
          </w:p>
        </w:tc>
      </w:tr>
      <w:tr w14:paraId="2E32A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核心临床意义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报告时间</w:t>
            </w:r>
          </w:p>
        </w:tc>
      </w:tr>
      <w:tr w14:paraId="5DF0C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群体反应性抗体（PRA）百分比定量检测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移植术前筛查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4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当日或次日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可加急</w:t>
            </w:r>
          </w:p>
        </w:tc>
      </w:tr>
      <w:tr w14:paraId="0742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F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HLA特异性抗体检测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5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检测HLA抗体，识别高致敏患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者，预测排斥风险，指导脱敏治疗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1个工作日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可加急</w:t>
            </w:r>
          </w:p>
        </w:tc>
      </w:tr>
      <w:tr w14:paraId="520E5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HLA高分辨基因分型检测(NGS)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提供11位点精准等位基因分型，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用于造血干细胞移植供者选择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及DSA精准判定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A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5个工作日</w:t>
            </w:r>
          </w:p>
        </w:tc>
      </w:tr>
      <w:tr w14:paraId="0C2C6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2" w:name="_GoBack" w:colFirst="1" w:colLast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补体结合特异性抗HLA抗体检测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(Clq-HLA)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识别具有补体激活能力的高危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抗体，精准预测AMR风险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3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1个工作日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可加急</w:t>
            </w:r>
          </w:p>
        </w:tc>
      </w:tr>
      <w:tr w14:paraId="79F00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2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HLA补充位点抗体检测(补充珠)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提高对中国人群HLA抗体覆盖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率，避免漏检，适用高致敏患者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1个工作日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可加急</w:t>
            </w:r>
          </w:p>
        </w:tc>
      </w:tr>
      <w:tr w14:paraId="122A5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7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流式细胞毒交叉配型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(Flow-CDC)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移植前交叉配型金标准，客观检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测供者特异性补体依赖性抗体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(加急6-8小时)</w:t>
            </w:r>
          </w:p>
        </w:tc>
      </w:tr>
      <w:tr w14:paraId="70C9B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7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流式交叉配型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(FC-XM)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高灵敏度检测针对供者T/B细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胞的低水平抗体，弥补CDC不足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(加急6-8小时)</w:t>
            </w:r>
          </w:p>
        </w:tc>
      </w:tr>
      <w:tr w14:paraId="7AD1A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特异性流式交叉配型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(Flow-DSA)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直接检测供者特异性HLA抗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体，区分I/II类，不依赖补体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F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(加急6-8小时)</w:t>
            </w:r>
          </w:p>
        </w:tc>
      </w:tr>
      <w:tr w14:paraId="3BE0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D9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Flow-CDC+利妥昔单抗纠正实验(RCA)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鉴别阳性结果由HLA抗体还是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非HLA抗体(如抗CD20)引起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(加急6-8小时)</w:t>
            </w:r>
          </w:p>
        </w:tc>
      </w:tr>
      <w:bookmarkEnd w:id="2"/>
      <w:tr w14:paraId="46704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供者来源游离DNA检测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(dd-cfDNA)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无创动态监测移植物损伤，早期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预警排斥反应，减少穿刺活检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24小时</w:t>
            </w:r>
          </w:p>
        </w:tc>
      </w:tr>
      <w:tr w14:paraId="735D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5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霉酚酸(MPA)血药浓度检测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抗增殖类免疫抑制剂，推荐AUC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监测，个体内/间差异大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当日或次日</w:t>
            </w:r>
          </w:p>
        </w:tc>
      </w:tr>
      <w:tr w14:paraId="0B1C5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环孢素血药浓度检测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3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经典CNI,肾毒性需浓度控制，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儿童推荐C2监测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当日或次日</w:t>
            </w:r>
          </w:p>
        </w:tc>
      </w:tr>
      <w:tr w14:paraId="1671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3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西罗莫司血药浓度检测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C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mTOR抑制剂，治疗窗5-15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ng/mL,儿童需监测游离浓度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A8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当日或次日</w:t>
            </w:r>
          </w:p>
        </w:tc>
      </w:tr>
      <w:tr w14:paraId="3EB54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A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依库珠单抗血药浓度检测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C5补体抑制剂，监测血药浓度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优化给药，平衡疗效与感染风险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2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当日或次日</w:t>
            </w:r>
          </w:p>
        </w:tc>
      </w:tr>
      <w:tr w14:paraId="74C28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B19病毒(人细小病毒B19)定量检测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致纯红细胞再生障碍性贫血，影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响移植物功能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当日或次日</w:t>
            </w:r>
          </w:p>
        </w:tc>
      </w:tr>
      <w:tr w14:paraId="7CC54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HLA-A/B/C/DRB1/DQB1/DQA1/DPB1/DPA1中低分辨基因分型检测</w:t>
            </w:r>
          </w:p>
        </w:tc>
        <w:tc>
          <w:tcPr>
            <w:tcW w:w="3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器官分配前必须完成，是启动捐献器官分配的前置条件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7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6小时内</w:t>
            </w:r>
          </w:p>
        </w:tc>
      </w:tr>
    </w:tbl>
    <w:p w14:paraId="03741AC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除上述基础检测服务能力外，参选机构必须配套提供全流程技术支持与专业化临床科研咨询服务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8005C7A">
      <w:pPr>
        <w:pStyle w:val="2"/>
        <w:widowControl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bookmarkStart w:id="0" w:name="heading_4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全程技术支持服务</w:t>
      </w:r>
      <w:bookmarkEnd w:id="0"/>
    </w:p>
    <w:p w14:paraId="7DE09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参选机构需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</w:t>
      </w:r>
      <w:r>
        <w:rPr>
          <w:rFonts w:hint="eastAsia" w:ascii="宋体" w:hAnsi="宋体" w:eastAsia="宋体" w:cs="宋体"/>
          <w:sz w:val="24"/>
          <w:szCs w:val="24"/>
        </w:rPr>
        <w:t>专业技术服务团队，为我方提供覆盖检测全流程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技术支撑服务。实时响应我方技术咨询，针对相关问题提供专业答疑指导。针对检测过程中出现的异常情况、特殊问题，需第一时间反馈并出具专项技术分析说明。检测完成后，需针对检测报告内容、核心数据、指标意义、结果应用场景、异常数据成因等进行专业解读，提供针对性答疑与应用指导。此外，需常态化为我方提供行业新标准、检测新技术、质控新规范的解读与培训服务，助力我方工作人员提升专业业务能力。</w:t>
      </w:r>
    </w:p>
    <w:p w14:paraId="4E264706">
      <w:pPr>
        <w:pStyle w:val="2"/>
        <w:widowControl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bookmarkStart w:id="1" w:name="heading_5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临床科研咨询配套服务</w:t>
      </w:r>
      <w:bookmarkEnd w:id="1"/>
    </w:p>
    <w:p w14:paraId="5BC04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参选机构对送检标本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予以留存保存，不得在检测项目完成后直接处置丢弃，以备必要时复核、</w:t>
      </w:r>
      <w:r>
        <w:rPr>
          <w:rFonts w:hint="eastAsia" w:ascii="宋体" w:hAnsi="宋体" w:eastAsia="宋体" w:cs="宋体"/>
          <w:sz w:val="24"/>
          <w:szCs w:val="24"/>
        </w:rPr>
        <w:t>复检使用。为充分挖掘检测数据价值，赋能我方临床研究、学术创新、课题申报与成果转化工作，参选机构需具备成熟、完善的临床科研咨询服务能力，全方位提供科研赋能支持。</w:t>
      </w:r>
    </w:p>
    <w:p w14:paraId="3133A8D3">
      <w:pPr>
        <w:pStyle w:val="10"/>
        <w:widowControl/>
        <w:rPr>
          <w:rFonts w:hint="default" w:ascii="宋体" w:hAnsi="宋体" w:eastAsia="宋体" w:cs="宋体"/>
          <w:color w:val="auto"/>
          <w:sz w:val="24"/>
          <w:szCs w:val="20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0362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2E0CA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2E0CA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F59AB"/>
    <w:rsid w:val="00114C7F"/>
    <w:rsid w:val="0039012D"/>
    <w:rsid w:val="00DB5623"/>
    <w:rsid w:val="021B643E"/>
    <w:rsid w:val="055F2A93"/>
    <w:rsid w:val="07487F09"/>
    <w:rsid w:val="0CF87B8D"/>
    <w:rsid w:val="13AC5B97"/>
    <w:rsid w:val="13DA182D"/>
    <w:rsid w:val="14F0383F"/>
    <w:rsid w:val="16C17834"/>
    <w:rsid w:val="1A146989"/>
    <w:rsid w:val="1BF60B6E"/>
    <w:rsid w:val="1D1B2C99"/>
    <w:rsid w:val="1D5D4465"/>
    <w:rsid w:val="1FB9701B"/>
    <w:rsid w:val="2A2277AC"/>
    <w:rsid w:val="2A4468E8"/>
    <w:rsid w:val="301607F4"/>
    <w:rsid w:val="310F4AAB"/>
    <w:rsid w:val="32CB5E5A"/>
    <w:rsid w:val="377D4D5C"/>
    <w:rsid w:val="3B53088E"/>
    <w:rsid w:val="3C5A141B"/>
    <w:rsid w:val="3E317495"/>
    <w:rsid w:val="3F1A64DC"/>
    <w:rsid w:val="441D78FE"/>
    <w:rsid w:val="44277F51"/>
    <w:rsid w:val="44617B03"/>
    <w:rsid w:val="484B629A"/>
    <w:rsid w:val="488743B9"/>
    <w:rsid w:val="4B310911"/>
    <w:rsid w:val="4BBC5351"/>
    <w:rsid w:val="4C883D82"/>
    <w:rsid w:val="4F1D760B"/>
    <w:rsid w:val="4FA83112"/>
    <w:rsid w:val="509234D2"/>
    <w:rsid w:val="54A60E2C"/>
    <w:rsid w:val="55F63D2B"/>
    <w:rsid w:val="5A7A792D"/>
    <w:rsid w:val="5EE25EFA"/>
    <w:rsid w:val="60806DF2"/>
    <w:rsid w:val="6265613A"/>
    <w:rsid w:val="65605670"/>
    <w:rsid w:val="65AA5B01"/>
    <w:rsid w:val="65EA38B0"/>
    <w:rsid w:val="69044168"/>
    <w:rsid w:val="6A302406"/>
    <w:rsid w:val="6B2E7804"/>
    <w:rsid w:val="6C8218E8"/>
    <w:rsid w:val="6C8F59AB"/>
    <w:rsid w:val="6E753D0F"/>
    <w:rsid w:val="717225CD"/>
    <w:rsid w:val="733B3EC8"/>
    <w:rsid w:val="73403348"/>
    <w:rsid w:val="74546174"/>
    <w:rsid w:val="757971CF"/>
    <w:rsid w:val="785726D7"/>
    <w:rsid w:val="78C11D93"/>
    <w:rsid w:val="7A835AF8"/>
    <w:rsid w:val="7EFE3751"/>
    <w:rsid w:val="7FCF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widowControl w:val="0"/>
      <w:suppressLineNumbers w:val="0"/>
      <w:spacing w:before="260" w:beforeAutospacing="0" w:after="260" w:afterAutospacing="0" w:line="412" w:lineRule="auto"/>
      <w:ind w:left="0" w:right="0"/>
      <w:jc w:val="both"/>
      <w:outlineLvl w:val="1"/>
    </w:pPr>
    <w:rPr>
      <w:rFonts w:ascii="Arial" w:hAnsi="Arial" w:eastAsia="黑体" w:cs="Times New Roman"/>
      <w:b/>
      <w:kern w:val="2"/>
      <w:sz w:val="32"/>
      <w:szCs w:val="24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widowControl w:val="0"/>
      <w:suppressLineNumbers w:val="0"/>
      <w:spacing w:before="260" w:beforeAutospacing="0" w:after="260" w:afterAutospacing="0" w:line="412" w:lineRule="auto"/>
      <w:ind w:left="0" w:right="0"/>
      <w:jc w:val="both"/>
      <w:outlineLvl w:val="2"/>
    </w:pPr>
    <w:rPr>
      <w:rFonts w:hint="default" w:ascii="Calibri" w:hAnsi="Calibri" w:eastAsia="宋体" w:cs="Times New Roman"/>
      <w:b/>
      <w:kern w:val="2"/>
      <w:sz w:val="32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null3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default" w:ascii="Calibri" w:hAnsi="Calibri" w:eastAsia="宋体" w:cs="Times New Roman"/>
      <w:kern w:val="0"/>
      <w:sz w:val="20"/>
      <w:szCs w:val="20"/>
      <w:lang w:val="en-US" w:eastAsia="zh-CN" w:bidi="ar"/>
    </w:rPr>
  </w:style>
  <w:style w:type="paragraph" w:customStyle="1" w:styleId="11">
    <w:name w:val="图"/>
    <w:basedOn w:val="1"/>
    <w:qFormat/>
    <w:uiPriority w:val="0"/>
    <w:pPr>
      <w:keepNext/>
      <w:keepLines w:val="0"/>
      <w:widowControl w:val="0"/>
      <w:suppressLineNumbers w:val="0"/>
      <w:spacing w:before="60" w:beforeAutospacing="0" w:after="60" w:afterAutospacing="0" w:line="300" w:lineRule="auto"/>
      <w:ind w:left="0" w:right="0"/>
      <w:jc w:val="center"/>
    </w:pPr>
    <w:rPr>
      <w:rFonts w:hint="default" w:ascii="Calibri" w:hAnsi="Calibri" w:eastAsia="宋体" w:cs="Times New Roman"/>
      <w:spacing w:val="20"/>
      <w:kern w:val="2"/>
      <w:sz w:val="24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1115</Words>
  <Characters>1290</Characters>
  <Lines>0</Lines>
  <Paragraphs>0</Paragraphs>
  <TotalTime>1268</TotalTime>
  <ScaleCrop>false</ScaleCrop>
  <LinksUpToDate>false</LinksUpToDate>
  <CharactersWithSpaces>1290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2026-05-03T01:19:00Z</dcterms:created>
  <dc:creator>海盗</dc:creator>
  <cp:lastModifiedBy>PZL</cp:lastModifiedBy>
  <dcterms:modified xsi:type="dcterms:W3CDTF">2026-10-13T09:59:40Z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E9988E4381E14A3685343CA2F711235F_13</vt:lpwstr>
  </property>
  <property fmtid="{D5CDD505-2E9C-101B-9397-08002B2CF9AE}" pid="4" name="KSOTemplateDocerSaveRecord">
    <vt:lpwstr>eyJoZGlkIjoiMWY5MDI2ZjRhYWMxNmVlODJlOTUzYmE4NTAzMjg5NjUiLCJ1c2VySWQiOiIxNzc2ODc1NDc0In0=</vt:lpwstr>
  </property>
</Properties>
</file>