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440605-2022-09748</w:t>
      </w:r>
    </w:p>
    <w:p>
      <w:pPr>
        <w:jc w:val="center"/>
      </w:pPr>
      <w:r>
        <w:rPr>
          <w:b/>
          <w:sz w:val="24"/>
        </w:rPr>
        <w:t>采购项目编号：</w:t>
      </w:r>
      <w:r>
        <w:rPr>
          <w:b/>
          <w:sz w:val="24"/>
        </w:rPr>
        <w:t>FS2022（NH01）XZ0062</w:t>
      </w:r>
    </w:p>
    <w:p>
      <w:pPr>
        <w:jc w:val="center"/>
      </w:pPr>
      <w:r>
        <w:rPr>
          <w:b/>
          <w:sz w:val="24"/>
        </w:rPr>
        <w:t>项目名称：</w:t>
      </w:r>
      <w:r>
        <w:rPr>
          <w:b/>
          <w:sz w:val="24"/>
        </w:rPr>
        <w:t>广东省人民医院南海医院（平洲医院）心血管病大楼建设项目2022年度信息化建设子项目-CIS系统</w:t>
      </w:r>
    </w:p>
    <w:p>
      <w:pPr>
        <w:jc w:val="center"/>
      </w:pPr>
      <w:r>
        <w:rPr>
          <w:b/>
          <w:sz w:val="24"/>
        </w:rPr>
        <w:t>采购人：</w:t>
      </w:r>
      <w:r>
        <w:rPr>
          <w:b/>
          <w:sz w:val="24"/>
        </w:rPr>
        <w:t>广东省人民医院南海医院（佛山市南海区第二人民医院）</w:t>
      </w:r>
    </w:p>
    <w:p>
      <w:pPr>
        <w:jc w:val="center"/>
      </w:pPr>
      <w:r>
        <w:rPr>
          <w:b/>
          <w:sz w:val="24"/>
        </w:rPr>
        <w:t>采购代理机构：</w:t>
      </w:r>
      <w:r>
        <w:rPr>
          <w:b/>
          <w:sz w:val="24"/>
        </w:rPr>
        <w:t>广东信诚招标代理咨询有限公司</w:t>
      </w:r>
    </w:p>
    <w:p>
      <w:pPr>
        <w:ind w:firstLine="480"/>
      </w:pPr>
    </w:p>
    <w:p>
      <w:r>
        <w:rPr/>
        <w:t xml:space="preserve"> </w:t>
      </w:r>
    </w:p>
    <w:p/>
    <w:p>
      <w:pPr>
        <w:jc w:val="center"/>
      </w:pPr>
      <w:r>
        <w:rPr>
          <w:b/>
          <w:sz w:val="36"/>
        </w:rPr>
        <w:t>第一章投标邀请</w:t>
      </w:r>
    </w:p>
    <w:p>
      <w:pPr>
        <w:ind w:firstLine="480"/>
      </w:pPr>
      <w:r>
        <w:rPr/>
        <w:t>广东信诚招标代理咨询有限公司</w:t>
      </w:r>
      <w:r>
        <w:rPr/>
        <w:t>受</w:t>
      </w:r>
      <w:r>
        <w:rPr/>
        <w:t>广东省人民医院南海医院（佛山市南海区第二人民医院）</w:t>
      </w:r>
      <w:r>
        <w:rPr/>
        <w:t>的委托，采用</w:t>
      </w:r>
      <w:r>
        <w:rPr/>
        <w:t>公开招标</w:t>
      </w:r>
      <w:r>
        <w:rPr/>
        <w:t>方式组织采购</w:t>
      </w:r>
      <w:r>
        <w:rPr/>
        <w:t>广东省人民医院南海医院（平洲医院）心血管病大楼建设项目2022年度信息化建设子项目-CIS系统</w:t>
      </w:r>
      <w:r>
        <w:rPr/>
        <w:t>。欢迎符合资格条件的国内供应商参加投标。</w:t>
      </w:r>
    </w:p>
    <w:p>
      <w:r>
        <w:rPr>
          <w:b/>
          <w:sz w:val="28"/>
        </w:rPr>
        <w:t>一.项目概述</w:t>
      </w:r>
    </w:p>
    <w:p>
      <w:r>
        <w:rPr>
          <w:b/>
          <w:sz w:val="24"/>
        </w:rPr>
        <w:t>1.名称与编号</w:t>
      </w:r>
    </w:p>
    <w:p>
      <w:pPr>
        <w:ind w:firstLine="480"/>
      </w:pPr>
      <w:r>
        <w:rPr/>
        <w:t>项目名称：</w:t>
      </w:r>
      <w:r>
        <w:rPr/>
        <w:t>广东省人民医院南海医院（平洲医院）心血管病大楼建设项目2022年度信息化建设子项目-CIS系统</w:t>
      </w:r>
    </w:p>
    <w:p>
      <w:pPr>
        <w:ind w:firstLine="480"/>
      </w:pPr>
      <w:r>
        <w:rPr/>
        <w:t>采购计划编号：</w:t>
      </w:r>
      <w:r>
        <w:rPr/>
        <w:t>440605-2022-09748</w:t>
      </w:r>
    </w:p>
    <w:p>
      <w:pPr>
        <w:ind w:firstLine="480"/>
      </w:pPr>
      <w:r>
        <w:rPr/>
        <w:t>采购项目编号：</w:t>
      </w:r>
      <w:r>
        <w:rPr/>
        <w:t>FS2022（NH01）XZ0062</w:t>
      </w:r>
    </w:p>
    <w:p>
      <w:pPr>
        <w:ind w:firstLine="480"/>
      </w:pPr>
      <w:r>
        <w:rPr/>
        <w:t>采购方式：</w:t>
      </w:r>
      <w:r>
        <w:rPr/>
        <w:t>公开招标</w:t>
      </w:r>
    </w:p>
    <w:p>
      <w:pPr>
        <w:ind w:firstLine="480"/>
      </w:pPr>
      <w:r>
        <w:rPr/>
        <w:t>预算金额：</w:t>
      </w:r>
      <w:r>
        <w:rPr/>
        <w:t>1,350,000.00</w:t>
      </w:r>
      <w:r>
        <w:rPr/>
        <w:t>元</w:t>
      </w:r>
    </w:p>
    <w:p>
      <w:r>
        <w:rPr>
          <w:b/>
          <w:sz w:val="24"/>
        </w:rPr>
        <w:t>2.项目内容及需求情况（采购项目技术规格、参数及要求）</w:t>
      </w:r>
    </w:p>
    <w:p>
      <w:pPr>
        <w:ind w:firstLine="480"/>
      </w:pPr>
    </w:p>
    <w:p/>
    <w:p>
      <w:r>
        <w:rPr/>
        <w:t>采购包1(预检分级分诊开发服务、急诊管理系统开发服务、统一支付平台开发服务):</w:t>
      </w:r>
    </w:p>
    <w:p>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行业应用软件开发服务</w:t>
            </w:r>
          </w:p>
        </w:tc>
        <w:tc>
          <w:tcPr>
            <w:tcW w:type="dxa" w:w="2136"/>
          </w:tcPr>
          <w:p>
            <w:r>
              <w:rPr/>
              <w:t>预检分级分诊开发服务</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行业应用软件开发服务</w:t>
            </w:r>
          </w:p>
        </w:tc>
        <w:tc>
          <w:tcPr>
            <w:tcW w:type="dxa" w:w="2136"/>
          </w:tcPr>
          <w:p>
            <w:r>
              <w:rPr/>
              <w:t>急诊管理系统开发服务</w:t>
            </w:r>
          </w:p>
        </w:tc>
        <w:tc>
          <w:tcPr>
            <w:tcW w:type="dxa" w:w="1187"/>
          </w:tcPr>
          <w:p>
            <w:r>
              <w:rPr/>
              <w:t>1.0000(项)</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行业应用软件开发服务</w:t>
            </w:r>
          </w:p>
        </w:tc>
        <w:tc>
          <w:tcPr>
            <w:tcW w:type="dxa" w:w="2136"/>
          </w:tcPr>
          <w:p>
            <w:r>
              <w:rPr/>
              <w:t>统一支付平台开发服务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合同履行期限：合同签订后6个月内完成项目验收。</w:t>
      </w:r>
    </w:p>
    <w:p/>
    <w:p>
      <w:r>
        <w:rPr/>
        <w:t>采购包2(药事管理系统开发服务):</w:t>
      </w:r>
    </w:p>
    <w:p>
      <w:r>
        <w:rPr/>
        <w:t>采购包预算金额：350,000.00元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行业应用软件开发服务</w:t>
            </w:r>
          </w:p>
        </w:tc>
        <w:tc>
          <w:tcPr>
            <w:tcW w:type="dxa" w:w="2136"/>
          </w:tcPr>
          <w:p>
            <w:r>
              <w:rPr/>
              <w:t>药事管理系统开发服务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合同履行期限：合同签订后9个月内完成项目验收。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提供2021年度财务状况报告或基本开户行出具的资信证明或财政部门认可的政府采购专业担保机构出具的担保函，成立不足一年的单位可提供投标截止日前上一月份财务会计报表；</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 6）法律、行政法规规定的其他条件：须提供书面声明，格式自定。</w:t>
      </w:r>
    </w:p>
    <w:p/>
    <w:p>
      <w:r>
        <w:rPr>
          <w:b/>
          <w:sz w:val="24"/>
        </w:rPr>
        <w:t>2.落实政府采购政策需满足的资格要求：</w:t>
      </w:r>
    </w:p>
    <w:p>
      <w:pPr>
        <w:ind w:firstLine="480"/>
      </w:pPr>
    </w:p>
    <w:p>
      <w:pPr>
        <w:jc w:val="left"/>
      </w:pPr>
    </w:p>
    <w:p>
      <w:r>
        <w:rPr/>
        <w:t>采购包1（预检分级分诊开发服务、急诊管理系统开发服务、统一支付平台开发服务）：</w:t>
      </w:r>
      <w:r>
        <w:rPr/>
        <w:t>无，本采购包不属于专门面向中小企业采购的项目，允许非中小微企业、监狱企业、残疾人福利性单位参与项目投标。本项目的中小企业划分标准所属行业为：软件和信息技术服务业。</w:t>
      </w:r>
    </w:p>
    <w:p>
      <w:pPr>
        <w:jc w:val="left"/>
      </w:pPr>
    </w:p>
    <w:p>
      <w:r>
        <w:rPr/>
        <w:t>采购包2（药事管理系统开发服务）：</w:t>
      </w:r>
      <w:r>
        <w:rPr/>
        <w:t>无，本采购包不属于专门面向中小企业采购的项目，允许非中小微企业、监狱企业、残疾人福利性单位参与项目投标。本项目的中小企业划分标准所属行业为：软件和信息技术服务业。</w:t>
      </w:r>
    </w:p>
    <w:p/>
    <w:p>
      <w:r>
        <w:rPr>
          <w:b/>
          <w:sz w:val="24"/>
        </w:rPr>
        <w:t>3.本项目特定的资格要求：</w:t>
      </w:r>
    </w:p>
    <w:p>
      <w:pPr>
        <w:ind w:firstLine="480"/>
      </w:pPr>
    </w:p>
    <w:p/>
    <w:p>
      <w:r>
        <w:rPr/>
        <w:t>采购包1（预检分级分诊开发服务、急诊管理系统开发服务、统一支付平台开发服务）：</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
      <w:r>
        <w:rPr/>
        <w:t>3)本采购包不接受联合体投标。</w:t>
      </w:r>
    </w:p>
    <w:p/>
    <w:p>
      <w:r>
        <w:rPr/>
        <w:t>采购包2（药事管理系统开发服务）：</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p>
    <w:p>
      <w:r>
        <w:rPr>
          <w:b/>
          <w:sz w:val="28"/>
        </w:rPr>
        <w:t>六.本项目联系方式：</w:t>
      </w:r>
    </w:p>
    <w:p>
      <w:r>
        <w:rPr>
          <w:b/>
          <w:sz w:val="24"/>
        </w:rPr>
        <w:t>1.采购人信息</w:t>
      </w:r>
    </w:p>
    <w:p>
      <w:pPr>
        <w:ind w:firstLine="480"/>
      </w:pPr>
      <w:r>
        <w:rPr/>
        <w:t>名称：</w:t>
      </w:r>
      <w:r>
        <w:rPr/>
        <w:t>广东省人民医院南海医院（佛山市南海区第二人民医院）</w:t>
      </w:r>
    </w:p>
    <w:p>
      <w:pPr>
        <w:ind w:firstLine="480"/>
      </w:pPr>
      <w:r>
        <w:rPr/>
        <w:t>地址：</w:t>
      </w:r>
      <w:r>
        <w:rPr/>
        <w:t>广东省佛山市南海区桂城街道夏东路23号</w:t>
      </w:r>
    </w:p>
    <w:p>
      <w:pPr>
        <w:ind w:firstLine="480"/>
      </w:pPr>
      <w:r>
        <w:rPr/>
        <w:t>联系方式：</w:t>
      </w:r>
      <w:r>
        <w:rPr/>
        <w:t>0757-88387160</w:t>
      </w:r>
    </w:p>
    <w:p>
      <w:r>
        <w:rPr>
          <w:b/>
          <w:sz w:val="24"/>
        </w:rPr>
        <w:t>2.采购代理机构信息</w:t>
      </w:r>
    </w:p>
    <w:p>
      <w:pPr>
        <w:ind w:firstLine="480"/>
      </w:pPr>
      <w:r>
        <w:rPr/>
        <w:t>名称：</w:t>
      </w:r>
      <w:r>
        <w:rPr/>
        <w:t>广东信诚招标代理咨询有限公司</w:t>
      </w:r>
    </w:p>
    <w:p>
      <w:pPr>
        <w:ind w:firstLine="480"/>
      </w:pPr>
      <w:r>
        <w:rPr/>
        <w:t>地址：</w:t>
      </w:r>
      <w:r>
        <w:rPr/>
        <w:t>广州市越秀区德政北路538号17楼1708</w:t>
      </w:r>
    </w:p>
    <w:p>
      <w:pPr>
        <w:ind w:firstLine="480"/>
      </w:pPr>
      <w:r>
        <w:rPr/>
        <w:t>联系方式：</w:t>
      </w:r>
      <w:r>
        <w:rPr/>
        <w:t>020-83224833</w:t>
      </w:r>
    </w:p>
    <w:p>
      <w:r>
        <w:rPr>
          <w:b/>
          <w:sz w:val="24"/>
        </w:rPr>
        <w:t>3.项目联系方式</w:t>
      </w:r>
    </w:p>
    <w:p>
      <w:pPr>
        <w:ind w:firstLine="480"/>
      </w:pPr>
      <w:r>
        <w:rPr/>
        <w:t>项目联系人：</w:t>
      </w:r>
      <w:r>
        <w:rPr/>
        <w:t>何小姐</w:t>
      </w:r>
    </w:p>
    <w:p>
      <w:pPr>
        <w:ind w:firstLine="480"/>
      </w:pPr>
      <w:r>
        <w:rPr/>
        <w:t>电话：</w:t>
      </w:r>
      <w:r>
        <w:rPr/>
        <w:t>020-83224833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广东信诚招标代理咨询有限公司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b/>
          <w:sz w:val="24"/>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606"/>
        <w:gridCol w:w="661"/>
        <w:gridCol w:w="2922"/>
        <w:gridCol w:w="978"/>
        <w:gridCol w:w="579"/>
        <w:gridCol w:w="1612"/>
      </w:tblGrid>
      <w:tr>
        <w:tc>
          <w:tcPr>
            <w:tcW w:type="dxa" w:w="606"/>
            <w:tcBorders>
              <w:top w:val="single" w:color="000000" w:sz="4"/>
              <w:left w:val="single" w:color="000000" w:sz="4"/>
              <w:bottom w:val="single" w:color="000000" w:sz="4"/>
              <w:right w:val="single" w:color="000000" w:sz="4"/>
            </w:tcBorders>
            <w:shd w:fill="EEECE1"/>
            <w:vAlign w:val="top"/>
          </w:tcPr>
          <w:p>
            <w:pPr>
              <w:jc w:val="center"/>
            </w:pPr>
            <w:r>
              <w:rPr>
                <w:b/>
                <w:sz w:val="21"/>
              </w:rPr>
              <w:t>包号</w:t>
            </w:r>
          </w:p>
        </w:tc>
        <w:tc>
          <w:tcPr>
            <w:tcW w:type="dxa" w:w="661"/>
            <w:tcBorders>
              <w:top w:val="single" w:color="000000" w:sz="4"/>
              <w:left w:val="none" w:color="000000" w:sz="4"/>
              <w:bottom w:val="single" w:color="000000" w:sz="4"/>
              <w:right w:val="single" w:color="000000" w:sz="4"/>
            </w:tcBorders>
            <w:shd w:fill="EEECE1"/>
            <w:vAlign w:val="top"/>
          </w:tcPr>
          <w:p>
            <w:pPr>
              <w:jc w:val="center"/>
            </w:pPr>
            <w:r>
              <w:rPr>
                <w:b/>
                <w:sz w:val="21"/>
              </w:rPr>
              <w:t>序号</w:t>
            </w:r>
          </w:p>
        </w:tc>
        <w:tc>
          <w:tcPr>
            <w:tcW w:type="dxa" w:w="2922"/>
            <w:tcBorders>
              <w:top w:val="single" w:color="000000" w:sz="4"/>
              <w:left w:val="none" w:color="000000" w:sz="4"/>
              <w:bottom w:val="single" w:color="000000" w:sz="4"/>
              <w:right w:val="single" w:color="000000" w:sz="4"/>
            </w:tcBorders>
            <w:shd w:fill="EEECE1"/>
            <w:vAlign w:val="top"/>
          </w:tcPr>
          <w:p>
            <w:pPr>
              <w:jc w:val="center"/>
            </w:pPr>
            <w:r>
              <w:rPr>
                <w:b/>
                <w:sz w:val="21"/>
              </w:rPr>
              <w:t>标的名称</w:t>
            </w:r>
          </w:p>
        </w:tc>
        <w:tc>
          <w:tcPr>
            <w:tcW w:type="dxa" w:w="978"/>
            <w:tcBorders>
              <w:top w:val="single" w:color="000000" w:sz="4"/>
              <w:left w:val="none" w:color="000000" w:sz="4"/>
              <w:bottom w:val="single" w:color="000000" w:sz="4"/>
              <w:right w:val="single" w:color="000000" w:sz="4"/>
            </w:tcBorders>
            <w:shd w:fill="EEECE1"/>
            <w:vAlign w:val="top"/>
          </w:tcPr>
          <w:p>
            <w:pPr>
              <w:jc w:val="center"/>
            </w:pPr>
            <w:r>
              <w:rPr>
                <w:b/>
                <w:sz w:val="21"/>
              </w:rPr>
              <w:t>计量</w:t>
            </w:r>
          </w:p>
          <w:p>
            <w:pPr>
              <w:jc w:val="center"/>
            </w:pPr>
            <w:r>
              <w:rPr>
                <w:b/>
                <w:sz w:val="21"/>
              </w:rPr>
              <w:t>单位</w:t>
            </w:r>
          </w:p>
        </w:tc>
        <w:tc>
          <w:tcPr>
            <w:tcW w:type="dxa" w:w="579"/>
            <w:tcBorders>
              <w:top w:val="single" w:color="000000" w:sz="4"/>
              <w:left w:val="none" w:color="000000" w:sz="4"/>
              <w:bottom w:val="single" w:color="000000" w:sz="4"/>
              <w:right w:val="single" w:color="000000" w:sz="4"/>
            </w:tcBorders>
            <w:shd w:fill="EEECE1"/>
            <w:vAlign w:val="top"/>
          </w:tcPr>
          <w:p>
            <w:pPr>
              <w:jc w:val="center"/>
            </w:pPr>
            <w:r>
              <w:rPr>
                <w:b/>
                <w:sz w:val="21"/>
              </w:rPr>
              <w:t>数量</w:t>
            </w:r>
          </w:p>
        </w:tc>
        <w:tc>
          <w:tcPr>
            <w:tcW w:type="dxa" w:w="1612"/>
            <w:tcBorders>
              <w:top w:val="single" w:color="000000" w:sz="4"/>
              <w:left w:val="none" w:color="000000" w:sz="4"/>
              <w:bottom w:val="single" w:color="000000" w:sz="4"/>
              <w:right w:val="single" w:color="000000" w:sz="4"/>
            </w:tcBorders>
            <w:shd w:fill="EEECE1"/>
            <w:vAlign w:val="top"/>
          </w:tcPr>
          <w:p>
            <w:pPr>
              <w:jc w:val="center"/>
            </w:pPr>
            <w:r>
              <w:rPr>
                <w:b/>
                <w:sz w:val="21"/>
              </w:rPr>
              <w:t>最高限价</w:t>
            </w:r>
            <w:r>
              <w:rPr>
                <w:b/>
                <w:sz w:val="21"/>
              </w:rPr>
              <w:t>(元)</w:t>
            </w:r>
          </w:p>
        </w:tc>
      </w:tr>
      <w:tr>
        <w:tc>
          <w:tcPr>
            <w:tcW w:type="dxa" w:w="606"/>
            <w:vMerge w:val="restart"/>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66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2922"/>
            <w:tcBorders>
              <w:top w:val="none" w:color="000000" w:sz="4"/>
              <w:left w:val="none" w:color="000000" w:sz="4"/>
              <w:bottom w:val="single" w:color="000000" w:sz="4"/>
              <w:right w:val="single" w:color="000000" w:sz="4"/>
            </w:tcBorders>
            <w:shd w:fill="FFFFFF"/>
            <w:vAlign w:val="top"/>
          </w:tcPr>
          <w:p>
            <w:pPr>
              <w:jc w:val="center"/>
            </w:pPr>
            <w:r>
              <w:rPr>
                <w:sz w:val="21"/>
              </w:rPr>
              <w:t>预检分级分诊开发服务</w:t>
            </w:r>
          </w:p>
        </w:tc>
        <w:tc>
          <w:tcPr>
            <w:tcW w:type="dxa" w:w="978"/>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7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612"/>
            <w:tcBorders>
              <w:top w:val="none" w:color="000000" w:sz="4"/>
              <w:left w:val="none" w:color="000000" w:sz="4"/>
              <w:bottom w:val="single" w:color="000000" w:sz="4"/>
              <w:right w:val="single" w:color="000000" w:sz="4"/>
            </w:tcBorders>
            <w:shd w:fill="FFFFFF"/>
            <w:vAlign w:val="top"/>
          </w:tcPr>
          <w:p>
            <w:pPr>
              <w:jc w:val="center"/>
            </w:pPr>
            <w:r>
              <w:rPr>
                <w:sz w:val="21"/>
              </w:rPr>
              <w:t>250,000.00</w:t>
            </w:r>
          </w:p>
        </w:tc>
      </w:tr>
      <w:tr>
        <w:tc>
          <w:tcPr>
            <w:tcW w:type="dxa" w:w="606"/>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shd w:fill="FFFFFF"/>
            <w:vAlign w:val="top"/>
          </w:tcPr>
          <w:p>
            <w:pPr>
              <w:jc w:val="center"/>
            </w:pPr>
            <w:r>
              <w:rPr>
                <w:sz w:val="21"/>
              </w:rPr>
              <w:t>2</w:t>
            </w:r>
          </w:p>
        </w:tc>
        <w:tc>
          <w:tcPr>
            <w:tcW w:type="dxa" w:w="2922"/>
            <w:tcBorders>
              <w:top w:val="none" w:color="000000" w:sz="4"/>
              <w:left w:val="none" w:color="000000" w:sz="4"/>
              <w:bottom w:val="single" w:color="000000" w:sz="4"/>
              <w:right w:val="single" w:color="000000" w:sz="4"/>
            </w:tcBorders>
            <w:shd w:fill="FFFFFF"/>
            <w:vAlign w:val="top"/>
          </w:tcPr>
          <w:p>
            <w:pPr>
              <w:jc w:val="center"/>
            </w:pPr>
            <w:r>
              <w:rPr>
                <w:sz w:val="21"/>
              </w:rPr>
              <w:t>急诊管理系统开发服务</w:t>
            </w:r>
          </w:p>
        </w:tc>
        <w:tc>
          <w:tcPr>
            <w:tcW w:type="dxa" w:w="978"/>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7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612"/>
            <w:tcBorders>
              <w:top w:val="none" w:color="000000" w:sz="4"/>
              <w:left w:val="none" w:color="000000" w:sz="4"/>
              <w:bottom w:val="single" w:color="000000" w:sz="4"/>
              <w:right w:val="single" w:color="000000" w:sz="4"/>
            </w:tcBorders>
            <w:shd w:fill="FFFFFF"/>
            <w:vAlign w:val="top"/>
          </w:tcPr>
          <w:p>
            <w:pPr>
              <w:jc w:val="center"/>
            </w:pPr>
            <w:r>
              <w:rPr>
                <w:sz w:val="21"/>
              </w:rPr>
              <w:t>400,000.00</w:t>
            </w:r>
          </w:p>
        </w:tc>
      </w:tr>
      <w:tr>
        <w:tc>
          <w:tcPr>
            <w:tcW w:type="dxa" w:w="606"/>
            <w:vMerge/>
            <w:tcBorders>
              <w:top w:val="none" w:color="000000" w:sz="4"/>
              <w:left w:val="single" w:color="000000" w:sz="4"/>
              <w:bottom w:val="single" w:color="000000" w:sz="4"/>
              <w:right w:val="single" w:color="000000" w:sz="4"/>
            </w:tcBorders>
          </w:tcPr>
          <w:p/>
        </w:tc>
        <w:tc>
          <w:tcPr>
            <w:tcW w:type="dxa" w:w="661"/>
            <w:tcBorders>
              <w:top w:val="none" w:color="000000" w:sz="4"/>
              <w:left w:val="none" w:color="000000" w:sz="4"/>
              <w:bottom w:val="single" w:color="000000" w:sz="4"/>
              <w:right w:val="single" w:color="000000" w:sz="4"/>
            </w:tcBorders>
            <w:shd w:fill="FFFFFF"/>
            <w:vAlign w:val="top"/>
          </w:tcPr>
          <w:p>
            <w:pPr>
              <w:jc w:val="center"/>
            </w:pPr>
            <w:r>
              <w:rPr>
                <w:sz w:val="21"/>
              </w:rPr>
              <w:t>3</w:t>
            </w:r>
          </w:p>
        </w:tc>
        <w:tc>
          <w:tcPr>
            <w:tcW w:type="dxa" w:w="2922"/>
            <w:tcBorders>
              <w:top w:val="none" w:color="000000" w:sz="4"/>
              <w:left w:val="none" w:color="000000" w:sz="4"/>
              <w:bottom w:val="single" w:color="000000" w:sz="4"/>
              <w:right w:val="single" w:color="000000" w:sz="4"/>
            </w:tcBorders>
            <w:shd w:fill="FFFFFF"/>
            <w:vAlign w:val="top"/>
          </w:tcPr>
          <w:p>
            <w:pPr>
              <w:jc w:val="center"/>
            </w:pPr>
            <w:r>
              <w:rPr>
                <w:sz w:val="21"/>
              </w:rPr>
              <w:t>统一支付平台开发服务</w:t>
            </w:r>
          </w:p>
        </w:tc>
        <w:tc>
          <w:tcPr>
            <w:tcW w:type="dxa" w:w="978"/>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7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612"/>
            <w:tcBorders>
              <w:top w:val="none" w:color="000000" w:sz="4"/>
              <w:left w:val="none" w:color="000000" w:sz="4"/>
              <w:bottom w:val="single" w:color="000000" w:sz="4"/>
              <w:right w:val="single" w:color="000000" w:sz="4"/>
            </w:tcBorders>
            <w:shd w:fill="FFFFFF"/>
            <w:vAlign w:val="top"/>
          </w:tcPr>
          <w:p>
            <w:pPr>
              <w:jc w:val="center"/>
            </w:pPr>
            <w:r>
              <w:rPr>
                <w:sz w:val="21"/>
              </w:rPr>
              <w:t>350,000.00</w:t>
            </w:r>
          </w:p>
        </w:tc>
      </w:tr>
      <w:tr>
        <w:tc>
          <w:tcPr>
            <w:tcW w:type="dxa" w:w="606"/>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661"/>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2922"/>
            <w:tcBorders>
              <w:top w:val="none" w:color="000000" w:sz="4"/>
              <w:left w:val="none" w:color="000000" w:sz="4"/>
              <w:bottom w:val="single" w:color="000000" w:sz="4"/>
              <w:right w:val="single" w:color="000000" w:sz="4"/>
            </w:tcBorders>
            <w:shd w:fill="FFFFFF"/>
            <w:vAlign w:val="top"/>
          </w:tcPr>
          <w:p>
            <w:pPr>
              <w:jc w:val="center"/>
            </w:pPr>
            <w:r>
              <w:rPr>
                <w:sz w:val="21"/>
              </w:rPr>
              <w:t>药事管理系统开发服务</w:t>
            </w:r>
          </w:p>
        </w:tc>
        <w:tc>
          <w:tcPr>
            <w:tcW w:type="dxa" w:w="978"/>
            <w:tcBorders>
              <w:top w:val="none" w:color="000000" w:sz="4"/>
              <w:left w:val="none" w:color="000000" w:sz="4"/>
              <w:bottom w:val="single" w:color="000000" w:sz="4"/>
              <w:right w:val="single" w:color="000000" w:sz="4"/>
            </w:tcBorders>
            <w:shd w:fill="FFFFFF"/>
            <w:vAlign w:val="top"/>
          </w:tcPr>
          <w:p>
            <w:pPr>
              <w:jc w:val="center"/>
            </w:pPr>
            <w:r>
              <w:rPr>
                <w:sz w:val="21"/>
              </w:rPr>
              <w:t>项</w:t>
            </w:r>
          </w:p>
        </w:tc>
        <w:tc>
          <w:tcPr>
            <w:tcW w:type="dxa" w:w="579"/>
            <w:tcBorders>
              <w:top w:val="none" w:color="000000" w:sz="4"/>
              <w:left w:val="none" w:color="000000" w:sz="4"/>
              <w:bottom w:val="single" w:color="000000" w:sz="4"/>
              <w:right w:val="single" w:color="000000" w:sz="4"/>
            </w:tcBorders>
            <w:shd w:fill="FFFFFF"/>
            <w:vAlign w:val="top"/>
          </w:tcPr>
          <w:p>
            <w:pPr>
              <w:jc w:val="center"/>
            </w:pPr>
            <w:r>
              <w:rPr>
                <w:sz w:val="21"/>
              </w:rPr>
              <w:t>1</w:t>
            </w:r>
          </w:p>
        </w:tc>
        <w:tc>
          <w:tcPr>
            <w:tcW w:type="dxa" w:w="1612"/>
            <w:tcBorders>
              <w:top w:val="none" w:color="000000" w:sz="4"/>
              <w:left w:val="none" w:color="000000" w:sz="4"/>
              <w:bottom w:val="single" w:color="000000" w:sz="4"/>
              <w:right w:val="single" w:color="000000" w:sz="4"/>
            </w:tcBorders>
            <w:shd w:fill="FFFFFF"/>
            <w:vAlign w:val="top"/>
          </w:tcPr>
          <w:p>
            <w:pPr>
              <w:jc w:val="center"/>
            </w:pPr>
            <w:r>
              <w:rPr>
                <w:sz w:val="21"/>
              </w:rPr>
              <w:t>350,000.00</w:t>
            </w:r>
          </w:p>
        </w:tc>
      </w:tr>
    </w:tbl>
    <w:p>
      <w:pPr>
        <w:jc w:val="left"/>
      </w:pPr>
    </w:p>
    <w:p>
      <w:pPr>
        <w:ind w:firstLine="482"/>
        <w:jc w:val="both"/>
      </w:pPr>
      <w:r>
        <w:rPr>
          <w:b/>
          <w:sz w:val="24"/>
        </w:rPr>
        <w:t>（</w:t>
      </w:r>
      <w:r>
        <w:rPr>
          <w:b/>
          <w:sz w:val="24"/>
        </w:rPr>
        <w:t>二</w:t>
      </w:r>
      <w:r>
        <w:rPr>
          <w:b/>
          <w:sz w:val="24"/>
        </w:rPr>
        <w:t>）项目背景：</w:t>
      </w:r>
    </w:p>
    <w:p>
      <w:pPr>
        <w:jc w:val="both"/>
      </w:pPr>
      <w:r>
        <w:rPr>
          <w:sz w:val="24"/>
        </w:rPr>
        <w:t>采购包</w:t>
      </w:r>
      <w:r>
        <w:rPr>
          <w:sz w:val="24"/>
        </w:rPr>
        <w:t>1（预检分级分诊开发服务、急诊管理系统开发服务、统一支付平台开发服务）的</w:t>
      </w:r>
      <w:r>
        <w:rPr>
          <w:sz w:val="24"/>
        </w:rPr>
        <w:t>项目背景</w:t>
      </w:r>
      <w:r>
        <w:rPr>
          <w:sz w:val="24"/>
        </w:rPr>
        <w:t>：</w:t>
      </w:r>
    </w:p>
    <w:p>
      <w:pPr>
        <w:ind w:firstLine="480"/>
        <w:jc w:val="both"/>
      </w:pPr>
      <w:r>
        <w:rPr>
          <w:sz w:val="24"/>
        </w:rPr>
        <w:t>根据医院等级评审等相关政策要求，急诊医学质量控制中心检查标准，以及胸痛中心的诊疗需求，急诊预检分诊必须迅速、有效、客观。目前医院急诊分诊工作完全由分诊护士凭经验手工进行，缺少信息化支持，急需建立一套科学、便捷的急诊预检分诊系统。</w:t>
      </w:r>
    </w:p>
    <w:p>
      <w:pPr>
        <w:ind w:firstLine="480"/>
        <w:jc w:val="both"/>
      </w:pPr>
      <w:r>
        <w:rPr>
          <w:sz w:val="24"/>
        </w:rPr>
        <w:t>国家卫生部相关政策要求，急重症患者采取</w:t>
      </w:r>
      <w:r>
        <w:rPr>
          <w:sz w:val="24"/>
        </w:rPr>
        <w:t>“先抢救后挂号、先抢救后付费”的优先救治原则与改善居民就医体验的要求。医院希望通过信息化手段探索一条新型的先诊疗后付费+急诊预交款的道路，实现急诊多通道付费模式。</w:t>
      </w:r>
    </w:p>
    <w:p>
      <w:pPr>
        <w:ind w:firstLine="480"/>
        <w:jc w:val="both"/>
      </w:pPr>
      <w:r>
        <w:rPr>
          <w:sz w:val="24"/>
        </w:rPr>
        <w:t>随着医改的深入，以患者为中心的服务模式在业务环节中已有诸多的体现，但仍旧没有解决眼前问题，其中最严重最普遍的是三长一短问题：挂号排队时间长、候诊等候时间长、缴费排队时间长、医生问诊时间短。尤其在大医院，缴费排队时间严重拉长了整体就诊时间，病人就医大部分时间其实是在排队等待，严重浪费了公共医疗服务资源。</w:t>
      </w:r>
    </w:p>
    <w:p>
      <w:pPr>
        <w:ind w:firstLine="480"/>
        <w:jc w:val="both"/>
      </w:pPr>
      <w:r>
        <w:rPr>
          <w:sz w:val="24"/>
        </w:rPr>
        <w:t>随着智能移动设备的普及，应运而生的移动支付被各行各业采纳，其具有支付方便快捷、安全灵活等优势。因此，如何在目前</w:t>
      </w:r>
      <w:r>
        <w:rPr>
          <w:sz w:val="24"/>
        </w:rPr>
        <w:t>HIS的结算模式下既能支持这些便捷的支付方式，方便广大病人，提升医院服务品质，又能保证医院财务数据的准确，与各支付方式对账的便捷是当前亟需解决的问题。</w:t>
      </w:r>
    </w:p>
    <w:p>
      <w:pPr>
        <w:jc w:val="both"/>
      </w:pPr>
      <w:r>
        <w:rPr>
          <w:sz w:val="24"/>
        </w:rPr>
        <w:t>采购包</w:t>
      </w:r>
      <w:r>
        <w:rPr>
          <w:sz w:val="24"/>
        </w:rPr>
        <w:t>2</w:t>
      </w:r>
      <w:r>
        <w:rPr>
          <w:sz w:val="24"/>
        </w:rPr>
        <w:t>（</w:t>
      </w:r>
      <w:r>
        <w:rPr>
          <w:sz w:val="24"/>
        </w:rPr>
        <w:t>药事管理系统开发服务</w:t>
      </w:r>
      <w:r>
        <w:rPr>
          <w:sz w:val="24"/>
        </w:rPr>
        <w:t>）的</w:t>
      </w:r>
      <w:r>
        <w:rPr>
          <w:sz w:val="24"/>
        </w:rPr>
        <w:t>项目背景</w:t>
      </w:r>
      <w:r>
        <w:rPr>
          <w:sz w:val="24"/>
        </w:rPr>
        <w:t>：</w:t>
      </w:r>
    </w:p>
    <w:p>
      <w:pPr>
        <w:ind w:firstLine="480"/>
        <w:jc w:val="both"/>
      </w:pPr>
      <w:r>
        <w:rPr>
          <w:sz w:val="24"/>
        </w:rPr>
        <w:t>加强医疗机构临床药事管理，规范处方行为，完善患者用药安全监管，是保障医疗质量和安全的重要内容。近年来，国家卫生主管部门相继下发了一系列相关政策文件，如：《医疗机构处方审核规范》（国卫办医发〔</w:t>
      </w:r>
      <w:r>
        <w:rPr>
          <w:sz w:val="24"/>
        </w:rPr>
        <w:t>2018〕14号）、《关于印发药事管理和护理专业医疗质量控制标准（2020年版）的通知》（国卫办医函〔2020〕654号）及《电子病历系统应用水平分级评价标准（试行）》等，明确对医院药学服务提出政策性要求，包括加强合理用药监测业务环节的信息化支撑，通过信息化工具提高工作效率和服务质量，转变药学服务模式：推进药学服务从“以药品为中心”转变为“以病人为中心”，从“以保障药品供应为中心”转变为“在保障药品供应的基础上，以重点加强药学专业技术服务、参与临床用药为中心”。同时，合理用药信息化建设也是医院通过各级各类信息化评级（电子病历、互联互通、智慧服务、智慧管理）的必要条件。</w:t>
      </w:r>
    </w:p>
    <w:p>
      <w:pPr>
        <w:ind w:firstLine="482"/>
        <w:jc w:val="both"/>
      </w:pPr>
      <w:r>
        <w:rPr>
          <w:b/>
          <w:sz w:val="24"/>
        </w:rPr>
        <w:t>（</w:t>
      </w:r>
      <w:r>
        <w:rPr>
          <w:b/>
          <w:sz w:val="24"/>
        </w:rPr>
        <w:t>三</w:t>
      </w:r>
      <w:r>
        <w:rPr>
          <w:b/>
          <w:sz w:val="24"/>
        </w:rPr>
        <w:t>）采购项目说明</w:t>
      </w:r>
    </w:p>
    <w:p>
      <w:pPr>
        <w:ind w:firstLine="480"/>
        <w:jc w:val="both"/>
      </w:pPr>
      <w:r>
        <w:rPr>
          <w:sz w:val="24"/>
        </w:rPr>
        <w:t>1.详细招标要求及需求请参阅招标文件中采购项目内容。</w:t>
      </w:r>
    </w:p>
    <w:p>
      <w:pPr>
        <w:ind w:firstLine="480"/>
        <w:jc w:val="both"/>
      </w:pPr>
      <w:r>
        <w:rPr>
          <w:sz w:val="24"/>
        </w:rPr>
        <w:t>2.投标人必须对所投包组全部内容进行投标，不允许只对所投包组其中部分内容进行投标。如有缺漏的，将导致投标无效。</w:t>
      </w:r>
    </w:p>
    <w:p>
      <w:pPr>
        <w:ind w:firstLine="480"/>
        <w:jc w:val="both"/>
      </w:pPr>
      <w:r>
        <w:rPr>
          <w:sz w:val="24"/>
        </w:rPr>
        <w:t>3</w:t>
      </w:r>
      <w:r>
        <w:rPr>
          <w:sz w:val="24"/>
        </w:rPr>
        <w:t>.需要落实的政府采购政策：《政府采购促进中小企业发展实施办法》（财库〔2020〕46号）、《关于政府采购支持监狱企业发展有关问题的通知》(财库〔2014〕68号)、《关于促进残疾人就业政府采购政策的通知》（财库〔2017〕141号)等。</w:t>
      </w:r>
    </w:p>
    <w:p/>
    <w:p>
      <w:pPr>
        <w:ind w:firstLine="480"/>
      </w:pPr>
    </w:p>
    <w:p/>
    <w:p>
      <w:r>
        <w:rPr/>
        <w:t>采购包1（预检分级分诊开发服务、急诊管理系统开发服务、统一支付平台开发服务）：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合同签订后6个月内完成项目验收。</w:t>
            </w:r>
          </w:p>
        </w:tc>
      </w:tr>
      <w:tr>
        <w:tc>
          <w:tcPr>
            <w:tcW w:type="dxa" w:w="4153"/>
          </w:tcPr>
          <w:p>
            <w:r>
              <w:rPr/>
              <w:t>标的提供的地点</w:t>
            </w:r>
          </w:p>
        </w:tc>
        <w:tc>
          <w:tcPr>
            <w:tcW w:type="dxa" w:w="4153"/>
          </w:tcPr>
          <w:p>
            <w:pPr>
              <w:jc w:val="left"/>
            </w:pPr>
          </w:p>
          <w:p>
            <w:r>
              <w:rPr/>
              <w:t>采购人（用户）指定地点。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60%，系统试运行之日起15个工作日内，中标人书面提出支付申请函、拟支付金额等额的符合采购人财务管理要求的相应发票以及缴纳履约保证金证明材料，采购人确认后启动首期款支付流程，支付合同总金额的60%；</w:t>
            </w:r>
          </w:p>
          <w:p/>
          <w:p>
            <w:r>
              <w:rPr/>
              <w:t>2期：支付比例40%，项目试运行结束后，采购人组织验收，验收合格后15个工作日内，中标人书面提出支付申请函、拟支付金额等额的符合采购人财务管理要求的相应发票以及缴纳履约保证金证明材料，采购人确认后启动尾款支付流程，支付合同总金额的40%。 注：本项目合同每笔款项以人民币支票方式支付，中标人凭下列材料申请支付： （1）款项支付申请书。 （2）合同和中标（成交）通知书。 （3）验收报告（须加盖采购人公章，申请余款时提交）。 （4）中标人须向采购人提供依法纳税的发票。 （5）缴纳履约保证金证明材料。 付款要求： 1.中标人须向采购人提供依法纳税的发票。 2.由于采购人使用的是财政资金，采购人在前款约定的付款时间内向政府采购支付部门提出办理财政支付申请手续（不含政府财政支付部门审核的时间）即视为已经按期支付。因财政支付审批流程及办理手续而造成合同费用支付进度有所推延，导致采购人逾期付款的，采购人不承担逾期付款的责任。由于财政拨款特殊性，合同金额的支付时间以财政拨款支付日期为准。 3.收款方、出具发票方、合同乙方均必须与中标（成交）供应商名称一致。</w:t>
            </w:r>
          </w:p>
        </w:tc>
      </w:tr>
      <w:tr>
        <w:tc>
          <w:tcPr>
            <w:tcW w:type="dxa" w:w="4153"/>
          </w:tcPr>
          <w:p>
            <w:r>
              <w:rPr/>
              <w:t>验收要求</w:t>
            </w:r>
          </w:p>
        </w:tc>
        <w:tc>
          <w:tcPr>
            <w:tcW w:type="dxa" w:w="4153"/>
          </w:tcPr>
          <w:p>
            <w:pPr>
              <w:jc w:val="left"/>
            </w:pPr>
          </w:p>
          <w:p/>
          <w:p/>
          <w:p>
            <w:r>
              <w:rPr/>
              <w:t>1期：本项目的验收应符合中华人民共和国、广东省和采购人相关规定、行业技术规范标准，及相关验收管理办法的要求，同时应遵循下列标准： 1.本项目验收工作由项目验收小组来完成，具体成员和组织形式由采购人确定。项目验收要求如下：采购人将依照国家及行业有关信息化建设的相关规范，以采购人的招标文件、中标人编写的投标文件为验收标准和依据，组织有关单位对本项目进行验收。 2.验收组织：采购人组成验收小组，负责对项目进行全面验收。 3.验收过程：在软件系统开发、测试达到本项目规定的功能和技术要求，取得采购人同意后，中标人可以向采购人提出系统试运行申请。试运行结束后组织项目验收。 4.验收要求  （1）中标人应负责在项目验收时将系统的全部有关产品说明书、安装手册、技术文件、资料、验收报告等文档交付采购人。 （2）项目验收由采购人组织相关人员、中标人共同进行。 （3）项目验收：本项目成果符合验收标准，且系统在试运行期间稳定运行，试运行结束后，中标人应以书面形式向采购人提出项目验收申请,采购人应在收到该申请的10个工作日内组织验收。</w:t>
            </w:r>
          </w:p>
        </w:tc>
      </w:tr>
      <w:tr>
        <w:tc>
          <w:tcPr>
            <w:tcW w:type="dxa" w:w="4153"/>
          </w:tcPr>
          <w:p>
            <w:r>
              <w:rPr/>
              <w:t>履约保证金</w:t>
            </w:r>
          </w:p>
        </w:tc>
        <w:tc>
          <w:tcPr>
            <w:tcW w:type="dxa" w:w="4153"/>
          </w:tcPr>
          <w:p>
            <w:pPr>
              <w:jc w:val="left"/>
            </w:pPr>
          </w:p>
          <w:p/>
          <w:p/>
          <w:p/>
          <w:p>
            <w:r>
              <w:rPr/>
              <w:t>收取比例：5%,说明：1.中标人须在合同签订后15个工作日内向采购人提交缴纳履约保证金缴纳证明。 2.履约保证金可以采用银行转账、支票、汇票、本票或者银行保函等形式提交。履约保证金数额为合同总金额的5%。采用保函形式提交履约保证金的，保函的有效期应当覆盖项目实施全过程，当项目实施过程中保函剩余有效期不足60日时，中标人应当适当延长保函有效期或重新提交履约保证金。 3.履约保证金在项目验收合格后一年后，采购人按照合同约定原额无息退还，履约保证金以履约担保函形式提交的，担保责任终止。</w:t>
            </w:r>
          </w:p>
        </w:tc>
      </w:tr>
      <w:tr>
        <w:tc>
          <w:tcPr>
            <w:tcW w:type="dxa" w:w="4153"/>
          </w:tcPr>
          <w:p>
            <w:r>
              <w:rPr/>
              <w:t>其他</w:t>
            </w:r>
          </w:p>
        </w:tc>
        <w:tc>
          <w:tcPr>
            <w:tcW w:type="dxa" w:w="4153"/>
          </w:tcPr>
          <w:p>
            <w:pPr>
              <w:jc w:val="left"/>
            </w:pPr>
          </w:p>
          <w:p/>
          <w:p>
            <w:r>
              <w:rPr/>
              <w:t>其他:一、报价要求 1.本项目的报价和结算支付均以人民币为货币单位。 2.本项目实行总价包干。 3.投标总报价应包括设备的相关配件、配套设施、安装调试、与项目相关资料、人工费、人员培训费、验收费用、各种税费、运维和接口开发服务、售后服务费及合同实施过程中的应预见和不可预见费用等完成合同规定责任和义务、达到合同目的之一切费用。 4.投标人的投标总报价超过采购项目预算金额（最高限价）的将被视为无效投标。 5.投标人的投标报价应包括单价和总价，总价是对应于采购人本次采购的所有内容所计算的总价，为合同总价；其填报的明细单价则应是投标人对本采购项目所包含的具体的货物和服务进行详细列示的计算单价。 6.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二、服务要求 1.中标人须针对本项目建立一个完善和稳定的项目团队和管理机构，其中设项目经理 1 名，由具备丰富相关项目实施经验的人员承担，项目经理负责本项目的日常管理协调工作，要求具备相应的项目组织建设经验，沟通能力、需求分析理解能力强。合同履行期间中标人须配备业务需求分析、系统分析、信息安全设计等专业技术骨干。合同履行期间稳定项目组成员人数不少于 5名。合同履行期间，如项目组无法胜任项目建设工作要求，采购人有权要求中标人调换项目主要实施人员，中标人应无条件接受；中标人应具备健全的质量保证体系，满足质量保证体系标准等行业标准规范要求。 三、包装和运输 1.所有产品/服务交付地点均在医院内，涉及的包装运输由中标人负责。 四、项目实施要求 1.投标人有责任检查安装现场是否符合产品安装条件。 2.投标人应承担投标软件的安装、测试和有关配置工作，进行实际的测试。 3.投标人应全力与采购人、系统集成商及其他供应商配合，根据采购人的详细需求，提交实施方案得到采购人及集成商确认后实施，保证系统按时、正常地投入运行。 4.产品实施过程中，如果牵涉到与第三方产品集成工作，投标人应与集成商及其他供应商通力合作，并提供必要的技术支持。 5.投标人应在投标文件中提供本次项目实施的实施人员名单，以及整个软件实施工期的具体计划安排表。 6.工期要求：合同签订后6个月内完成项目验收。 五、人员培训要求 1.中标人应提供相应的应用软件技术和系统操作、对系统维护人员进行系统维护等方面的培训。承担培训的讲师或辅导人员必须是公司的资深工程师且具有同类型项目实际工作经验和教学经验。 2.技术人员培训分两种，现场培训和集中培训。 3.培训内容包括： （1）在软件的安装调试、故障处理过程中，对系统使用人员进行实际的操作和故障处理培训。 （2）在整套系统安装、调试完成后，对系统使用人员的操作培训，讲授说明系统的安装、保养和应该注意的事项，使系统使用人员能够尽快地熟悉软件的性能。 （3）中标人须提供培训方案，包括培训教师、培训内容、培训教材。 4.投标人应在投标文件中提出培训计划，计划包括培训项目、人数、地点、日程、资料、其它等详细内容。技术培训的内容必须包含软件的日常操作和管理维护，以及基本的故障诊断与排错。 六、售后服务（包括但不限于运行维护、升级更新、备品备件、耗材、信息接口）： 1.中标人必须为本项目内所供应和安装的产品提供一年的免费质保服务，并为用户后续的医疗卫生信息化建设提供长期的技术支持。 2.由于本项目信息系统的特殊性，因此，在接到系统故障通知后，中标人必须在20分钟内响应。对于影响系统正常运行的严重故障（包括由系统原因引起的），中标人的相关技术人员必须在接到故障通知后2小时内赶到现场，查找原因，提出解决方案，直至故障修妥完全恢复正常工作为止，一般要求保证系统在24小时之内修复，并需要提供确保承诺实现的措施。 3.中标人必须帮助用户建立远程维护体系，中标人工程师经采购人授权通过电话线远程登录到采购人网络系统进行的故障诊断和故障排除。 4.合同履行期间需专人定点进行实施，质保期间内也需专人定期或不定期参加日常维护工作。 5.中标人须做出无推诿承诺。即中标人应提供特殊措施，无论由于哪一方产生的问题而使系统发生不正常情况时，并在得到采购人通知后，须立即派遣工程师到场，全力协助系统集成商和其他供应商，使系统尽快恢复正常。 七、其他要求 1.服务对照执行标准 （1）符合中华人民共和国国家和履约地相关安全质量标准、行业技术规范标准； （2）符合采购文件和响应承诺中各方共同认可的合理要求； 注：上述各类标准与法规必须是有关官方机构最新发布的现行标准版本。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（2）合同履行期内，采购人有权按本项目的服务要求对中标人进行不定期抽查检查，若对不合格的服务向中标人提出警告后，仍未得到有效解决时，采购人有权终止服务合同。 3.提出异议的时间和方法 （1）采购人有异议时，应 7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八、知识产权和保密要求 1.中标人必须保证，采购人在中华人民共和国境内使用投标货物、资料、技术、服务或其任何一部分时，享有不受限制的无偿使用权，如有第三方向采购人提出侵犯其专利权、商标权或其它知识产权的主张，该责任应由中标人承担。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九、违约责任 1.中标人未按要求履行合同义务时，须从违约之日起每日按合同总额的 5‰  比例向采购人支付违约金；逾期 30 个日历天以上时，采购人有权终止合同，由此造成采购人的经济损失由中标人承担。违约金不足以弥补损失的，中标人应按全额赔偿。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3‰ 累计。 3.其它违约责任按《中华人民共和国民法典》处理。 十、其他说明：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行业应用软件开发服务</w:t>
            </w:r>
          </w:p>
        </w:tc>
        <w:tc>
          <w:tcPr>
            <w:tcW w:type="dxa" w:w="1923"/>
          </w:tcPr>
          <w:p>
            <w:r>
              <w:rPr/>
              <w:t>预检分级分诊开发服务</w:t>
            </w:r>
          </w:p>
        </w:tc>
        <w:tc>
          <w:tcPr>
            <w:tcW w:type="dxa" w:w="385"/>
          </w:tcPr>
          <w:p>
            <w:r>
              <w:rPr/>
              <w:t>项</w:t>
            </w:r>
          </w:p>
        </w:tc>
        <w:tc>
          <w:tcPr>
            <w:tcW w:type="dxa" w:w="769"/>
          </w:tcPr>
          <w:p>
            <w:pPr>
              <w:jc w:val="right"/>
            </w:pPr>
            <w:r>
              <w:rPr/>
              <w:t>1.0000</w:t>
            </w:r>
          </w:p>
        </w:tc>
        <w:tc>
          <w:tcPr>
            <w:tcW w:type="dxa" w:w="769"/>
          </w:tcPr>
          <w:p>
            <w:pPr>
              <w:jc w:val="right"/>
            </w:pPr>
            <w:r>
              <w:rPr/>
              <w:t>250,000.00</w:t>
            </w:r>
          </w:p>
        </w:tc>
        <w:tc>
          <w:tcPr>
            <w:tcW w:type="dxa" w:w="769"/>
          </w:tcPr>
          <w:p>
            <w:pPr>
              <w:jc w:val="right"/>
            </w:pPr>
            <w:r>
              <w:rPr/>
              <w:t>250,000.00</w:t>
            </w:r>
          </w:p>
        </w:tc>
        <w:tc>
          <w:tcPr>
            <w:tcW w:type="dxa" w:w="769"/>
          </w:tcPr>
          <w:p>
            <w:r>
              <w:rPr/>
              <w:t>软件和信息技术服务业</w:t>
            </w:r>
          </w:p>
        </w:tc>
        <w:tc>
          <w:tcPr>
            <w:tcW w:type="dxa" w:w="385"/>
          </w:tcPr>
          <w:p>
            <w:r>
              <w:rPr/>
              <w:t>详见附表一</w:t>
            </w:r>
          </w:p>
        </w:tc>
      </w:tr>
      <w:tr>
        <w:tc>
          <w:tcPr>
            <w:tcW w:type="dxa" w:w="231"/>
          </w:tcPr>
          <w:p>
            <w:r>
              <w:rPr/>
              <w:t>2</w:t>
            </w:r>
          </w:p>
        </w:tc>
        <w:tc>
          <w:tcPr>
            <w:tcW w:type="dxa" w:w="385"/>
          </w:tcPr>
          <w:p/>
        </w:tc>
        <w:tc>
          <w:tcPr>
            <w:tcW w:type="dxa" w:w="1923"/>
          </w:tcPr>
          <w:p>
            <w:r>
              <w:rPr/>
              <w:t>行业应用软件开发服务</w:t>
            </w:r>
          </w:p>
        </w:tc>
        <w:tc>
          <w:tcPr>
            <w:tcW w:type="dxa" w:w="1923"/>
          </w:tcPr>
          <w:p>
            <w:r>
              <w:rPr/>
              <w:t>急诊管理系统开发服务</w:t>
            </w:r>
          </w:p>
        </w:tc>
        <w:tc>
          <w:tcPr>
            <w:tcW w:type="dxa" w:w="385"/>
          </w:tcPr>
          <w:p>
            <w:r>
              <w:rPr/>
              <w:t>项</w:t>
            </w:r>
          </w:p>
        </w:tc>
        <w:tc>
          <w:tcPr>
            <w:tcW w:type="dxa" w:w="769"/>
          </w:tcPr>
          <w:p>
            <w:pPr>
              <w:jc w:val="right"/>
            </w:pPr>
            <w:r>
              <w:rPr/>
              <w:t>1.0000</w:t>
            </w:r>
          </w:p>
        </w:tc>
        <w:tc>
          <w:tcPr>
            <w:tcW w:type="dxa" w:w="769"/>
          </w:tcPr>
          <w:p>
            <w:pPr>
              <w:jc w:val="right"/>
            </w:pPr>
            <w:r>
              <w:rPr/>
              <w:t>400,000.00</w:t>
            </w:r>
          </w:p>
        </w:tc>
        <w:tc>
          <w:tcPr>
            <w:tcW w:type="dxa" w:w="769"/>
          </w:tcPr>
          <w:p>
            <w:pPr>
              <w:jc w:val="right"/>
            </w:pPr>
            <w:r>
              <w:rPr/>
              <w:t>400,000.00</w:t>
            </w:r>
          </w:p>
        </w:tc>
        <w:tc>
          <w:tcPr>
            <w:tcW w:type="dxa" w:w="769"/>
          </w:tcPr>
          <w:p>
            <w:r>
              <w:rPr/>
              <w:t>软件和信息技术服务业</w:t>
            </w:r>
          </w:p>
        </w:tc>
        <w:tc>
          <w:tcPr>
            <w:tcW w:type="dxa" w:w="385"/>
          </w:tcPr>
          <w:p>
            <w:r>
              <w:rPr/>
              <w:t>详见附表二</w:t>
            </w:r>
          </w:p>
        </w:tc>
      </w:tr>
      <w:tr>
        <w:tc>
          <w:tcPr>
            <w:tcW w:type="dxa" w:w="231"/>
          </w:tcPr>
          <w:p>
            <w:r>
              <w:rPr/>
              <w:t>3</w:t>
            </w:r>
          </w:p>
        </w:tc>
        <w:tc>
          <w:tcPr>
            <w:tcW w:type="dxa" w:w="385"/>
          </w:tcPr>
          <w:p/>
        </w:tc>
        <w:tc>
          <w:tcPr>
            <w:tcW w:type="dxa" w:w="1923"/>
          </w:tcPr>
          <w:p>
            <w:r>
              <w:rPr/>
              <w:t>行业应用软件开发服务</w:t>
            </w:r>
          </w:p>
        </w:tc>
        <w:tc>
          <w:tcPr>
            <w:tcW w:type="dxa" w:w="1923"/>
          </w:tcPr>
          <w:p>
            <w:r>
              <w:rPr/>
              <w:t>统一支付平台开发服务</w:t>
            </w:r>
          </w:p>
        </w:tc>
        <w:tc>
          <w:tcPr>
            <w:tcW w:type="dxa" w:w="385"/>
          </w:tcPr>
          <w:p>
            <w:r>
              <w:rPr/>
              <w:t>项</w:t>
            </w:r>
          </w:p>
        </w:tc>
        <w:tc>
          <w:tcPr>
            <w:tcW w:type="dxa" w:w="769"/>
          </w:tcPr>
          <w:p>
            <w:pPr>
              <w:jc w:val="right"/>
            </w:pPr>
            <w:r>
              <w:rPr/>
              <w:t>1.0000</w:t>
            </w:r>
          </w:p>
        </w:tc>
        <w:tc>
          <w:tcPr>
            <w:tcW w:type="dxa" w:w="769"/>
          </w:tcPr>
          <w:p>
            <w:pPr>
              <w:jc w:val="right"/>
            </w:pPr>
            <w:r>
              <w:rPr/>
              <w:t>350,000.00</w:t>
            </w:r>
          </w:p>
        </w:tc>
        <w:tc>
          <w:tcPr>
            <w:tcW w:type="dxa" w:w="769"/>
          </w:tcPr>
          <w:p>
            <w:pPr>
              <w:jc w:val="right"/>
            </w:pPr>
            <w:r>
              <w:rPr/>
              <w:t>350,000.00</w:t>
            </w:r>
          </w:p>
        </w:tc>
        <w:tc>
          <w:tcPr>
            <w:tcW w:type="dxa" w:w="769"/>
          </w:tcPr>
          <w:p>
            <w:r>
              <w:rPr/>
              <w:t>软件和信息技术服务业</w:t>
            </w:r>
          </w:p>
        </w:tc>
        <w:tc>
          <w:tcPr>
            <w:tcW w:type="dxa" w:w="385"/>
          </w:tcPr>
          <w:p>
            <w:r>
              <w:rPr/>
              <w:t>详见附表三</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预检分级分诊开发服务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建</w:t>
            </w:r>
            <w:r>
              <w:rPr>
                <w:b/>
                <w:sz w:val="21"/>
              </w:rPr>
              <w:t>设目标</w:t>
            </w:r>
          </w:p>
          <w:p>
            <w:pPr>
              <w:ind w:firstLine="420"/>
              <w:jc w:val="both"/>
            </w:pPr>
            <w:r>
              <w:rPr>
                <w:sz w:val="21"/>
              </w:rPr>
              <w:t>采购人</w:t>
            </w:r>
            <w:r>
              <w:rPr>
                <w:sz w:val="21"/>
              </w:rPr>
              <w:t>门急诊已经建立了相对成熟的就医流程，需要建立急诊的信息系统建设，主要目标：</w:t>
            </w:r>
          </w:p>
          <w:p>
            <w:pPr>
              <w:ind w:firstLine="420"/>
              <w:jc w:val="left"/>
            </w:pPr>
            <w:r>
              <w:rPr>
                <w:sz w:val="21"/>
              </w:rPr>
              <w:t>1.1.</w:t>
            </w:r>
            <w:r>
              <w:rPr>
                <w:sz w:val="21"/>
              </w:rPr>
              <w:t>自动采集监护信息：预检分诊系统可通过接口自动采集血压、血氧饱和度数据。（备注：生命体征采集仪需要提供接口）</w:t>
            </w:r>
          </w:p>
          <w:p>
            <w:pPr>
              <w:ind w:firstLine="420"/>
              <w:jc w:val="both"/>
            </w:pPr>
            <w:r>
              <w:rPr>
                <w:sz w:val="21"/>
              </w:rPr>
              <w:t>1.2.</w:t>
            </w:r>
            <w:r>
              <w:rPr>
                <w:sz w:val="21"/>
              </w:rPr>
              <w:t>多系统集成：能够从</w:t>
            </w:r>
            <w:r>
              <w:rPr>
                <w:sz w:val="21"/>
              </w:rPr>
              <w:t>HIS系统中自动获取患者基本信息，分诊信息能够传到挂号收费系统中。急诊医生工作站可以获取分诊患者的基本信息、生命体征和分诊信息。</w:t>
            </w:r>
          </w:p>
          <w:p>
            <w:pPr>
              <w:ind w:firstLine="420"/>
              <w:jc w:val="both"/>
            </w:pPr>
            <w:r>
              <w:rPr>
                <w:sz w:val="21"/>
              </w:rPr>
              <w:t>1.3.</w:t>
            </w:r>
            <w:r>
              <w:rPr>
                <w:sz w:val="21"/>
              </w:rPr>
              <w:t>使用轻量：分诊主要工作集成在同一个页面中，减少不必要的操作，方便使用。</w:t>
            </w:r>
          </w:p>
          <w:p>
            <w:pPr>
              <w:ind w:firstLine="420"/>
              <w:jc w:val="both"/>
            </w:pPr>
            <w:r>
              <w:rPr>
                <w:sz w:val="21"/>
              </w:rPr>
              <w:t>1.4.</w:t>
            </w:r>
            <w:r>
              <w:rPr>
                <w:sz w:val="21"/>
              </w:rPr>
              <w:t>改善患者就医体验：优化急诊业务流程，减少患者在</w:t>
            </w:r>
            <w:r>
              <w:rPr>
                <w:sz w:val="18"/>
              </w:rPr>
              <w:t>预检分诊台、收费处、抢救室（诊疗室）</w:t>
            </w:r>
            <w:r>
              <w:rPr>
                <w:sz w:val="21"/>
              </w:rPr>
              <w:t>之间的来回奔波，实现最多跑一次的要求。</w:t>
            </w:r>
          </w:p>
          <w:p>
            <w:pPr>
              <w:jc w:val="both"/>
            </w:pPr>
            <w:r>
              <w:rPr>
                <w:b/>
                <w:sz w:val="21"/>
              </w:rPr>
              <w:t>2.</w:t>
            </w:r>
            <w:r>
              <w:rPr>
                <w:b/>
                <w:sz w:val="21"/>
              </w:rPr>
              <w:t>总体技术要求</w:t>
            </w:r>
          </w:p>
          <w:p>
            <w:pPr>
              <w:ind w:firstLine="420"/>
              <w:jc w:val="both"/>
            </w:pPr>
            <w:r>
              <w:rPr>
                <w:sz w:val="21"/>
              </w:rPr>
              <w:t>2.1.</w:t>
            </w:r>
            <w:r>
              <w:rPr>
                <w:sz w:val="21"/>
              </w:rPr>
              <w:t>项目建设包含需求调研、软件设计、系统开发、测试、实施部署、培训和医院现有信息系统的软件调整改造，即一直到整个项目调试验收合格交付</w:t>
            </w:r>
            <w:r>
              <w:rPr>
                <w:sz w:val="21"/>
              </w:rPr>
              <w:t>采购人</w:t>
            </w:r>
            <w:r>
              <w:rPr>
                <w:sz w:val="21"/>
              </w:rPr>
              <w:t>使用，</w:t>
            </w:r>
            <w:r>
              <w:rPr>
                <w:sz w:val="21"/>
              </w:rPr>
              <w:t>采购人</w:t>
            </w:r>
            <w:r>
              <w:rPr>
                <w:sz w:val="21"/>
              </w:rPr>
              <w:t>不</w:t>
            </w:r>
            <w:r>
              <w:rPr>
                <w:sz w:val="21"/>
              </w:rPr>
              <w:t>再另行支付费用。</w:t>
            </w:r>
          </w:p>
          <w:p>
            <w:pPr>
              <w:ind w:firstLine="420"/>
              <w:jc w:val="both"/>
            </w:pPr>
            <w:r>
              <w:rPr>
                <w:sz w:val="21"/>
              </w:rPr>
              <w:t>2.2.</w:t>
            </w:r>
            <w:r>
              <w:rPr>
                <w:sz w:val="21"/>
              </w:rPr>
              <w:t>项目应基于医院现有的硬件、网络、软件系统平台和数据库环境，充分利用现有资源，不浪费现有设备。</w:t>
            </w:r>
          </w:p>
          <w:p>
            <w:pPr>
              <w:ind w:firstLine="420"/>
              <w:jc w:val="both"/>
            </w:pPr>
            <w:r>
              <w:rPr>
                <w:sz w:val="21"/>
              </w:rPr>
              <w:t>2.3.</w:t>
            </w:r>
            <w:r>
              <w:rPr>
                <w:sz w:val="21"/>
              </w:rPr>
              <w:t>投标产品采用业界公认的安全、高效的大型数据库。</w:t>
            </w:r>
          </w:p>
          <w:p>
            <w:pPr>
              <w:ind w:firstLine="420"/>
              <w:jc w:val="both"/>
            </w:pPr>
            <w:r>
              <w:rPr>
                <w:sz w:val="21"/>
              </w:rPr>
              <w:t>2.4.</w:t>
            </w:r>
            <w:r>
              <w:rPr>
                <w:sz w:val="21"/>
              </w:rPr>
              <w:t>数据库设计结构合理，运行效率高。</w:t>
            </w:r>
          </w:p>
          <w:p>
            <w:pPr>
              <w:ind w:firstLine="420"/>
              <w:jc w:val="both"/>
            </w:pPr>
            <w:r>
              <w:rPr>
                <w:sz w:val="21"/>
              </w:rPr>
              <w:t>2.5.</w:t>
            </w:r>
            <w:r>
              <w:rPr>
                <w:sz w:val="21"/>
              </w:rPr>
              <w:t>接口建设遵从所涉及的业务的国际标准、国家标准及规范各项技术规定，做好系统的标准化设计与管理工作。</w:t>
            </w:r>
          </w:p>
          <w:p>
            <w:pPr>
              <w:ind w:firstLine="420"/>
              <w:jc w:val="both"/>
            </w:pPr>
            <w:r>
              <w:rPr>
                <w:sz w:val="21"/>
              </w:rPr>
              <w:t>2.6.</w:t>
            </w:r>
            <w:r>
              <w:rPr>
                <w:sz w:val="21"/>
              </w:rPr>
              <w:t>要</w:t>
            </w:r>
            <w:r>
              <w:rPr>
                <w:sz w:val="21"/>
              </w:rPr>
              <w:t>求向</w:t>
            </w:r>
            <w:r>
              <w:rPr>
                <w:sz w:val="21"/>
              </w:rPr>
              <w:t>采购人</w:t>
            </w:r>
            <w:r>
              <w:rPr>
                <w:sz w:val="21"/>
              </w:rPr>
              <w:t>开放本</w:t>
            </w:r>
            <w:r>
              <w:rPr>
                <w:sz w:val="21"/>
              </w:rPr>
              <w:t>次项目涉及软件接口的源代码。</w:t>
            </w:r>
          </w:p>
          <w:p>
            <w:pPr>
              <w:ind w:firstLine="420"/>
              <w:jc w:val="both"/>
            </w:pPr>
            <w:r>
              <w:rPr>
                <w:sz w:val="21"/>
              </w:rPr>
              <w:t>2.7.</w:t>
            </w:r>
            <w:r>
              <w:rPr>
                <w:sz w:val="21"/>
              </w:rPr>
              <w:t>本次项目涉及的接口建设需以医院信息平台接口为标准，实现与院内</w:t>
            </w:r>
            <w:r>
              <w:rPr>
                <w:sz w:val="21"/>
              </w:rPr>
              <w:t>HIS系统进行对接集成，中标</w:t>
            </w:r>
            <w:r>
              <w:rPr>
                <w:sz w:val="21"/>
              </w:rPr>
              <w:t>人不再向采购人收取接口费用，涉及到采购人院内</w:t>
            </w:r>
            <w:r>
              <w:rPr>
                <w:sz w:val="21"/>
              </w:rPr>
              <w:t>HIS等对接第三方厂家收取的接口费用由中标人自主承担。</w:t>
            </w:r>
          </w:p>
          <w:p>
            <w:pPr>
              <w:jc w:val="both"/>
            </w:pPr>
            <w:r>
              <w:rPr>
                <w:b/>
                <w:sz w:val="21"/>
              </w:rPr>
              <w:t>3.</w:t>
            </w:r>
            <w:r>
              <w:rPr>
                <w:b/>
                <w:sz w:val="21"/>
              </w:rPr>
              <w:t>详细参数要求</w:t>
            </w:r>
          </w:p>
          <w:p>
            <w:pPr>
              <w:jc w:val="both"/>
            </w:pPr>
            <w:r>
              <w:rPr>
                <w:b/>
                <w:sz w:val="21"/>
              </w:rPr>
              <w:t>3.1.</w:t>
            </w:r>
            <w:r>
              <w:rPr>
                <w:b/>
                <w:sz w:val="21"/>
              </w:rPr>
              <w:t>预检分级分诊</w:t>
            </w:r>
          </w:p>
          <w:tbl>
            <w:tblPr>
              <w:tblInd w:type="dxa" w:w="195"/>
              <w:tblBorders>
                <w:top w:val="none" w:color="000000" w:sz="4"/>
                <w:left w:val="none" w:color="000000" w:sz="4"/>
                <w:bottom w:val="none" w:color="000000" w:sz="4"/>
                <w:right w:val="none" w:color="000000" w:sz="4"/>
                <w:insideH w:val="none"/>
                <w:insideV w:val="none"/>
              </w:tblBorders>
            </w:tblPr>
            <w:tblGrid>
              <w:gridCol w:w="461"/>
              <w:gridCol w:w="902"/>
              <w:gridCol w:w="707"/>
              <w:gridCol w:w="3363"/>
            </w:tblGrid>
            <w:tr>
              <w:tc>
                <w:tcPr>
                  <w:tcW w:type="dxa" w:w="461"/>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序号</w:t>
                  </w:r>
                </w:p>
              </w:tc>
              <w:tc>
                <w:tcPr>
                  <w:tcW w:type="dxa" w:w="902"/>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功能要求</w:t>
                  </w:r>
                </w:p>
              </w:tc>
              <w:tc>
                <w:tcPr>
                  <w:tcW w:type="dxa" w:w="4070"/>
                  <w:gridSpan w:val="2"/>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详细技术参数</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902"/>
                  <w:vMerge w:val="restart"/>
                  <w:tcBorders>
                    <w:top w:val="none" w:color="000000" w:sz="4"/>
                    <w:left w:val="single" w:color="000000" w:sz="4"/>
                    <w:bottom w:val="single" w:color="000000" w:sz="4"/>
                    <w:right w:val="single" w:color="000000" w:sz="4"/>
                  </w:tcBorders>
                  <w:vAlign w:val="top"/>
                </w:tcPr>
                <w:p>
                  <w:pPr>
                    <w:jc w:val="left"/>
                  </w:pPr>
                  <w:r>
                    <w:rPr>
                      <w:color w:val="000000"/>
                      <w:sz w:val="21"/>
                    </w:rPr>
                    <w:t>患者预检登记</w:t>
                  </w:r>
                </w:p>
              </w:tc>
              <w:tc>
                <w:tcPr>
                  <w:tcW w:type="dxa" w:w="707"/>
                  <w:vMerge w:val="restart"/>
                  <w:tcBorders>
                    <w:top w:val="none" w:color="000000" w:sz="4"/>
                    <w:left w:val="single" w:color="000000" w:sz="4"/>
                    <w:bottom w:val="single" w:color="000000" w:sz="4"/>
                    <w:right w:val="single" w:color="000000" w:sz="4"/>
                  </w:tcBorders>
                  <w:vAlign w:val="top"/>
                </w:tcPr>
                <w:p>
                  <w:pPr>
                    <w:jc w:val="left"/>
                  </w:pPr>
                  <w:r>
                    <w:rPr>
                      <w:color w:val="000000"/>
                      <w:sz w:val="21"/>
                    </w:rPr>
                    <w:t>患者预检登记（个体）</w:t>
                  </w:r>
                </w:p>
              </w:tc>
              <w:tc>
                <w:tcPr>
                  <w:tcW w:type="dxa" w:w="3363"/>
                  <w:tcBorders>
                    <w:top w:val="single" w:color="000000" w:sz="4"/>
                    <w:left w:val="single" w:color="000000" w:sz="4"/>
                    <w:bottom w:val="single" w:color="000000" w:sz="4"/>
                    <w:right w:val="single" w:color="000000" w:sz="4"/>
                  </w:tcBorders>
                  <w:vAlign w:val="top"/>
                </w:tcPr>
                <w:p>
                  <w:pPr>
                    <w:jc w:val="left"/>
                  </w:pPr>
                  <w:r>
                    <w:rPr>
                      <w:color w:val="000000"/>
                      <w:sz w:val="21"/>
                    </w:rPr>
                    <w:t>实现预检分诊台功能</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实现快速分诊功能，以读卡（社保卡、健康卡、身份证）、扫码（医保电子凭证、健康卡电子凭证）、</w:t>
                  </w:r>
                  <w:r>
                    <w:rPr>
                      <w:color w:val="000000"/>
                      <w:sz w:val="21"/>
                    </w:rPr>
                    <w:t>HIS接口等渠道获取患者信息，实现快捷录入</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实现根据患者年龄的自动识别、计算，实现儿童、成人的年龄单位切换</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实现与硬件设备（读卡器、体征监护仪等）接口自动读取患者基本信息、生命体征（血压、心率、呼吸、血氧等）预检信息，并支持急诊医生直接调取查看相关数据</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实现一键开启</w:t>
                  </w:r>
                  <w:r>
                    <w:rPr>
                      <w:color w:val="000000"/>
                      <w:sz w:val="21"/>
                    </w:rPr>
                    <w:t>“绿色通道”，允许先抢救后补录相关信息</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w:t>
                  </w:r>
                  <w:r>
                    <w:rPr>
                      <w:sz w:val="21"/>
                    </w:rPr>
                    <w:t>MEWS评分、GCS评分、CRAMS、FLACC、FAST评分等评分的初步测定，实现自动根据生命体征计算评分快速分诊</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实现患者异常体温自动监测，并自动标识发热患者</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实现对特殊发热病人分诊到发热门诊，并提醒做流调登记</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w:t>
                  </w:r>
                  <w:r>
                    <w:rPr>
                      <w:sz w:val="21"/>
                    </w:rPr>
                    <w:t>根据</w:t>
                  </w:r>
                  <w:r>
                    <w:rPr>
                      <w:sz w:val="21"/>
                    </w:rPr>
                    <w:t>综合评分结果自动分级分区、腕带打印、分诊条、特殊标志功能</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实现预检分诊信息调取查看，同时实现预检记录的作废处理</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sz w:val="21"/>
                    </w:rPr>
                    <w:t>实现对预检分诊结果的分级、分诊科室信息进行人为变更，并记录相应变更理由、操作人、操作时间等关键信息</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实现患者特殊标签管理，如：三无人员、绿通、卒中、胸痛等</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实现与</w:t>
                  </w:r>
                  <w:r>
                    <w:rPr>
                      <w:color w:val="000000"/>
                      <w:sz w:val="21"/>
                    </w:rPr>
                    <w:t>HIS挂号接口对接，实现急诊患者一键挂号</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实现对超时候诊患者进行自动监管、提醒，并支持二次评估功能</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实现调取分诊知识库</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实现预检患者列表管理，在多种查询条件下检索并调阅、修改患者分诊信息</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可按照三区四级进行患者分级分区，将患者分配到适当的治疗区域就诊</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实现根据分诊库（生命体征、评分、常见病症等）进行快速分级</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left"/>
                  </w:pPr>
                  <w:r>
                    <w:rPr>
                      <w:color w:val="000000"/>
                      <w:sz w:val="21"/>
                    </w:rPr>
                    <w:t>实现自动记录预检登记、预检人员信息</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902"/>
                  <w:vMerge/>
                  <w:tcBorders>
                    <w:top w:val="none" w:color="000000" w:sz="4"/>
                    <w:left w:val="single" w:color="000000" w:sz="4"/>
                    <w:bottom w:val="single" w:color="000000" w:sz="4"/>
                    <w:right w:val="single" w:color="000000" w:sz="4"/>
                  </w:tcBorders>
                </w:tcPr>
                <w:p/>
              </w:tc>
              <w:tc>
                <w:tcPr>
                  <w:tcW w:type="dxa" w:w="707"/>
                  <w:vMerge w:val="restart"/>
                  <w:tcBorders>
                    <w:top w:val="none" w:color="000000" w:sz="4"/>
                    <w:left w:val="single" w:color="000000" w:sz="4"/>
                    <w:bottom w:val="single" w:color="000000" w:sz="4"/>
                    <w:right w:val="single" w:color="000000" w:sz="4"/>
                  </w:tcBorders>
                  <w:vAlign w:val="top"/>
                </w:tcPr>
                <w:p>
                  <w:pPr>
                    <w:jc w:val="both"/>
                  </w:pPr>
                  <w:r>
                    <w:rPr>
                      <w:color w:val="000000"/>
                      <w:sz w:val="21"/>
                    </w:rPr>
                    <w:t>患者预检登记（群体）</w:t>
                  </w:r>
                </w:p>
              </w:tc>
              <w:tc>
                <w:tcPr>
                  <w:tcW w:type="dxa" w:w="3363"/>
                  <w:tcBorders>
                    <w:top w:val="none" w:color="000000" w:sz="4"/>
                    <w:left w:val="single" w:color="000000" w:sz="4"/>
                    <w:bottom w:val="single" w:color="000000" w:sz="4"/>
                    <w:right w:val="single" w:color="000000" w:sz="4"/>
                  </w:tcBorders>
                  <w:vAlign w:val="top"/>
                </w:tcPr>
                <w:p>
                  <w:pPr>
                    <w:jc w:val="both"/>
                  </w:pPr>
                  <w:r>
                    <w:rPr>
                      <w:color w:val="000000"/>
                      <w:sz w:val="21"/>
                    </w:rPr>
                    <w:t>实现群伤患者快速登记、批量管理，快速建立群伤患者列表，患者追踪等功能；</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both"/>
                  </w:pPr>
                  <w:r>
                    <w:rPr>
                      <w:color w:val="000000"/>
                      <w:sz w:val="21"/>
                    </w:rPr>
                    <w:t>实现对于分诊到抢救室和留观区的患者，腕带条码的打印功能</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902"/>
                  <w:vMerge/>
                  <w:tcBorders>
                    <w:top w:val="none" w:color="000000" w:sz="4"/>
                    <w:left w:val="single" w:color="000000" w:sz="4"/>
                    <w:bottom w:val="single" w:color="000000" w:sz="4"/>
                    <w:right w:val="single" w:color="000000" w:sz="4"/>
                  </w:tcBorders>
                </w:tcPr>
                <w:p/>
              </w:tc>
              <w:tc>
                <w:tcPr>
                  <w:tcW w:type="dxa" w:w="707"/>
                  <w:vMerge/>
                  <w:tcBorders>
                    <w:top w:val="none" w:color="000000" w:sz="4"/>
                    <w:left w:val="single" w:color="000000" w:sz="4"/>
                    <w:bottom w:val="single" w:color="000000" w:sz="4"/>
                    <w:right w:val="single" w:color="000000" w:sz="4"/>
                  </w:tcBorders>
                </w:tcPr>
                <w:p/>
              </w:tc>
              <w:tc>
                <w:tcPr>
                  <w:tcW w:type="dxa" w:w="3363"/>
                  <w:tcBorders>
                    <w:top w:val="none" w:color="000000" w:sz="4"/>
                    <w:left w:val="single" w:color="000000" w:sz="4"/>
                    <w:bottom w:val="single" w:color="000000" w:sz="4"/>
                    <w:right w:val="single" w:color="000000" w:sz="4"/>
                  </w:tcBorders>
                  <w:vAlign w:val="top"/>
                </w:tcPr>
                <w:p>
                  <w:pPr>
                    <w:jc w:val="both"/>
                  </w:pPr>
                  <w:r>
                    <w:rPr>
                      <w:color w:val="000000"/>
                      <w:sz w:val="21"/>
                    </w:rPr>
                    <w:t>实现群体患者按红、黄、绿三色标记管理</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23</w:t>
                  </w:r>
                </w:p>
              </w:tc>
              <w:tc>
                <w:tcPr>
                  <w:tcW w:type="dxa" w:w="902"/>
                  <w:tcBorders>
                    <w:top w:val="none" w:color="000000" w:sz="4"/>
                    <w:left w:val="single" w:color="000000" w:sz="4"/>
                    <w:bottom w:val="single" w:color="000000" w:sz="4"/>
                    <w:right w:val="single" w:color="000000" w:sz="4"/>
                  </w:tcBorders>
                  <w:vAlign w:val="top"/>
                </w:tcPr>
                <w:p>
                  <w:pPr>
                    <w:jc w:val="both"/>
                  </w:pPr>
                  <w:r>
                    <w:rPr>
                      <w:color w:val="000000"/>
                      <w:sz w:val="21"/>
                    </w:rPr>
                    <w:t>急诊大屏</w:t>
                  </w: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实现大屏方式展示当前急诊科室运行情况，包括诊区患者排队情况、各分级患者候诊时长、占比，超时接诊人次等</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24</w:t>
                  </w:r>
                </w:p>
              </w:tc>
              <w:tc>
                <w:tcPr>
                  <w:tcW w:type="dxa" w:w="902"/>
                  <w:vMerge w:val="restart"/>
                  <w:tcBorders>
                    <w:top w:val="none" w:color="000000" w:sz="4"/>
                    <w:left w:val="single" w:color="000000" w:sz="4"/>
                    <w:bottom w:val="single" w:color="000000" w:sz="4"/>
                    <w:right w:val="single" w:color="000000" w:sz="4"/>
                  </w:tcBorders>
                  <w:vAlign w:val="top"/>
                </w:tcPr>
                <w:p>
                  <w:pPr>
                    <w:jc w:val="both"/>
                  </w:pPr>
                  <w:r>
                    <w:rPr>
                      <w:color w:val="000000"/>
                      <w:sz w:val="21"/>
                    </w:rPr>
                    <w:t>统计报表</w:t>
                  </w: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实现统计报表，急诊日报、分诊患者登记表、分诊工作量统计、急诊住院收治统计、急诊患者分级占比、急诊患者就诊时间分布、急诊发热患者统计等</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25</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实现群体性事件数据统计，包括受伤情况（复合性外伤、颅脑外伤、胸背部外伤、四肢外伤、软组织损伤等）例数、占比等</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26</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实现部分报表数据下钻查看明细，导出</w:t>
                  </w:r>
                  <w:r>
                    <w:rPr>
                      <w:color w:val="000000"/>
                      <w:sz w:val="21"/>
                    </w:rPr>
                    <w:t>excel等</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27</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实现组合图、表形式展示多维急诊数据分析</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28</w:t>
                  </w:r>
                </w:p>
              </w:tc>
              <w:tc>
                <w:tcPr>
                  <w:tcW w:type="dxa" w:w="902"/>
                  <w:vMerge w:val="restart"/>
                  <w:tcBorders>
                    <w:top w:val="none" w:color="000000" w:sz="4"/>
                    <w:left w:val="single" w:color="000000" w:sz="4"/>
                    <w:bottom w:val="single" w:color="000000" w:sz="4"/>
                    <w:right w:val="single" w:color="000000" w:sz="4"/>
                  </w:tcBorders>
                  <w:vAlign w:val="top"/>
                </w:tcPr>
                <w:p>
                  <w:pPr>
                    <w:jc w:val="both"/>
                  </w:pPr>
                  <w:r>
                    <w:rPr>
                      <w:color w:val="000000"/>
                      <w:sz w:val="21"/>
                    </w:rPr>
                    <w:t>分诊知识库</w:t>
                  </w: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提供分级分诊的知识库，贯穿外伤和非外伤两大系统，根据患者主诉、病症条件为判断依据实现自动化分级并关联患者分诊诊区</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29</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实现对分诊知识库进行自定义配置管理</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30</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实现根据病症、主诉等配置对应评分表并在预检分诊时动态调用</w:t>
                  </w:r>
                </w:p>
              </w:tc>
            </w:tr>
            <w:tr>
              <w:tc>
                <w:tcPr>
                  <w:tcW w:type="dxa" w:w="461"/>
                  <w:tcBorders>
                    <w:top w:val="none" w:color="000000" w:sz="4"/>
                    <w:left w:val="single" w:color="000000" w:sz="4"/>
                    <w:bottom w:val="single" w:color="000000" w:sz="4"/>
                    <w:right w:val="single" w:color="000000" w:sz="4"/>
                  </w:tcBorders>
                  <w:vAlign w:val="top"/>
                </w:tcPr>
                <w:p>
                  <w:pPr>
                    <w:jc w:val="center"/>
                  </w:pPr>
                  <w:r>
                    <w:rPr>
                      <w:color w:val="000000"/>
                      <w:sz w:val="22"/>
                    </w:rPr>
                    <w:t>31</w:t>
                  </w:r>
                </w:p>
              </w:tc>
              <w:tc>
                <w:tcPr>
                  <w:tcW w:type="dxa" w:w="902"/>
                  <w:vMerge/>
                  <w:tcBorders>
                    <w:top w:val="none" w:color="000000" w:sz="4"/>
                    <w:left w:val="single" w:color="000000" w:sz="4"/>
                    <w:bottom w:val="single" w:color="000000" w:sz="4"/>
                    <w:right w:val="single" w:color="000000" w:sz="4"/>
                  </w:tcBorders>
                </w:tcPr>
                <w:p/>
              </w:tc>
              <w:tc>
                <w:tcPr>
                  <w:tcW w:type="dxa" w:w="4070"/>
                  <w:gridSpan w:val="2"/>
                  <w:tcBorders>
                    <w:top w:val="none" w:color="000000" w:sz="4"/>
                    <w:left w:val="single" w:color="000000" w:sz="4"/>
                    <w:bottom w:val="single" w:color="000000" w:sz="4"/>
                    <w:right w:val="single" w:color="000000" w:sz="4"/>
                  </w:tcBorders>
                  <w:vAlign w:val="top"/>
                </w:tcPr>
                <w:p>
                  <w:pPr>
                    <w:jc w:val="both"/>
                  </w:pPr>
                  <w:r>
                    <w:rPr>
                      <w:color w:val="000000"/>
                      <w:sz w:val="21"/>
                    </w:rPr>
                    <w:t>实现预检分诊填报项值域自定义配置管理</w:t>
                  </w:r>
                </w:p>
              </w:tc>
            </w:tr>
          </w:tbl>
          <w:p>
            <w:pPr>
              <w:jc w:val="both"/>
            </w:pPr>
          </w:p>
          <w:p>
            <w:pPr>
              <w:jc w:val="both"/>
            </w:pPr>
            <w:r>
              <w:rPr>
                <w:b/>
                <w:sz w:val="21"/>
              </w:rPr>
              <w:t>3.2.</w:t>
            </w:r>
            <w:r>
              <w:rPr>
                <w:b/>
                <w:sz w:val="21"/>
              </w:rPr>
              <w:t>基础管理</w:t>
            </w:r>
          </w:p>
          <w:tbl>
            <w:tblPr>
              <w:tblInd w:type="dxa" w:w="150"/>
              <w:tblBorders>
                <w:top w:val="none" w:color="000000" w:sz="4"/>
                <w:left w:val="none" w:color="000000" w:sz="4"/>
                <w:bottom w:val="none" w:color="000000" w:sz="4"/>
                <w:right w:val="none" w:color="000000" w:sz="4"/>
                <w:insideH w:val="none"/>
                <w:insideV w:val="none"/>
              </w:tblBorders>
            </w:tblPr>
            <w:tblGrid>
              <w:gridCol w:w="471"/>
              <w:gridCol w:w="902"/>
              <w:gridCol w:w="4059"/>
            </w:tblGrid>
            <w:tr>
              <w:tc>
                <w:tcPr>
                  <w:tcW w:type="dxa" w:w="471"/>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序号</w:t>
                  </w:r>
                </w:p>
              </w:tc>
              <w:tc>
                <w:tcPr>
                  <w:tcW w:type="dxa" w:w="902"/>
                  <w:tcBorders>
                    <w:top w:val="single" w:color="000000" w:sz="4"/>
                    <w:left w:val="single" w:color="000000" w:sz="4"/>
                    <w:bottom w:val="single" w:color="000000" w:sz="4"/>
                    <w:right w:val="single" w:color="000000" w:sz="4"/>
                  </w:tcBorders>
                  <w:shd w:fill="EEECE1"/>
                  <w:vAlign w:val="top"/>
                </w:tcPr>
                <w:p>
                  <w:pPr>
                    <w:jc w:val="center"/>
                  </w:pPr>
                  <w:r>
                    <w:rPr>
                      <w:b/>
                      <w:color w:val="000000"/>
                      <w:sz w:val="21"/>
                    </w:rPr>
                    <w:t>功能要求</w:t>
                  </w:r>
                </w:p>
              </w:tc>
              <w:tc>
                <w:tcPr>
                  <w:tcW w:type="dxa" w:w="4059"/>
                  <w:tcBorders>
                    <w:top w:val="single" w:color="000000" w:sz="4"/>
                    <w:left w:val="single" w:color="000000" w:sz="4"/>
                    <w:bottom w:val="single" w:color="000000" w:sz="4"/>
                    <w:right w:val="single" w:color="000000" w:sz="4"/>
                  </w:tcBorders>
                  <w:shd w:fill="EEECE1"/>
                  <w:vAlign w:val="top"/>
                </w:tcPr>
                <w:p>
                  <w:pPr>
                    <w:jc w:val="center"/>
                  </w:pPr>
                  <w:r>
                    <w:rPr>
                      <w:b/>
                      <w:color w:val="000000"/>
                      <w:sz w:val="21"/>
                    </w:rPr>
                    <w:t>详细技术参数</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902"/>
                  <w:vMerge w:val="restart"/>
                  <w:tcBorders>
                    <w:top w:val="none" w:color="000000" w:sz="4"/>
                    <w:left w:val="single" w:color="000000" w:sz="4"/>
                    <w:bottom w:val="single" w:color="000000" w:sz="4"/>
                    <w:right w:val="single" w:color="000000" w:sz="4"/>
                  </w:tcBorders>
                  <w:vAlign w:val="top"/>
                </w:tcPr>
                <w:p>
                  <w:pPr>
                    <w:jc w:val="left"/>
                  </w:pPr>
                  <w:r>
                    <w:rPr>
                      <w:color w:val="000000"/>
                      <w:sz w:val="21"/>
                    </w:rPr>
                    <w:t>患者管理</w:t>
                  </w: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实现查看患者就诊信息过程的时间轴</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实现按患者属性展示特殊标记</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902"/>
                  <w:tcBorders>
                    <w:top w:val="none" w:color="000000" w:sz="4"/>
                    <w:left w:val="single" w:color="000000" w:sz="4"/>
                    <w:bottom w:val="single" w:color="000000" w:sz="4"/>
                    <w:right w:val="single" w:color="000000" w:sz="4"/>
                  </w:tcBorders>
                  <w:vAlign w:val="top"/>
                </w:tcPr>
                <w:p>
                  <w:pPr>
                    <w:jc w:val="left"/>
                  </w:pPr>
                  <w:r>
                    <w:rPr>
                      <w:color w:val="000000"/>
                      <w:sz w:val="21"/>
                    </w:rPr>
                    <w:t>设备接入管理</w:t>
                  </w: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实现主流仪器接入，如：迈瑞</w:t>
                  </w:r>
                  <w:r>
                    <w:rPr>
                      <w:color w:val="000000"/>
                      <w:sz w:val="21"/>
                    </w:rPr>
                    <w:t>VS-900生命体征监护仪</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902"/>
                  <w:vMerge w:val="restart"/>
                  <w:tcBorders>
                    <w:top w:val="none" w:color="000000" w:sz="4"/>
                    <w:left w:val="single" w:color="000000" w:sz="4"/>
                    <w:bottom w:val="single" w:color="000000" w:sz="4"/>
                    <w:right w:val="single" w:color="000000" w:sz="4"/>
                  </w:tcBorders>
                  <w:vAlign w:val="top"/>
                </w:tcPr>
                <w:p>
                  <w:pPr>
                    <w:jc w:val="left"/>
                  </w:pPr>
                  <w:r>
                    <w:rPr>
                      <w:color w:val="000000"/>
                      <w:sz w:val="21"/>
                    </w:rPr>
                    <w:t>业务框架</w:t>
                  </w: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w:t>
                  </w:r>
                  <w:r>
                    <w:rPr>
                      <w:color w:val="000000"/>
                      <w:sz w:val="21"/>
                    </w:rPr>
                    <w:t>B/S架构，实现县域、医联体、医共体、集团化等多用户下的机构注册管理</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实现科室注册管理，同时实现同步接入机构相关科室（急诊科）、病区（抢救室）等，实现与</w:t>
                  </w:r>
                  <w:r>
                    <w:rPr>
                      <w:color w:val="000000"/>
                      <w:sz w:val="21"/>
                    </w:rPr>
                    <w:t>HIS的科室接口同步及业务协同管理</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实现同步</w:t>
                  </w:r>
                  <w:r>
                    <w:rPr>
                      <w:color w:val="000000"/>
                      <w:sz w:val="21"/>
                    </w:rPr>
                    <w:t>HIS人员数据，同时实现手工新增管理平台人员，包括：人员基本信息、职称职务</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实现定义用户角色，包括系统管理员、预检分诊护士、急诊医生、护士长等，根据业务特性分配相关菜单及业务权限。</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实现菜单管理页，实现按实际业务需求进行菜单权限分配管理，实现菜单排序等基础设置</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902"/>
                  <w:vMerge/>
                  <w:tcBorders>
                    <w:top w:val="none" w:color="000000" w:sz="4"/>
                    <w:left w:val="single" w:color="000000" w:sz="4"/>
                    <w:bottom w:val="single" w:color="000000" w:sz="4"/>
                    <w:right w:val="single" w:color="000000" w:sz="4"/>
                  </w:tcBorders>
                </w:tcP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实现界面可视化的系统参数配置管理，方便运维、实施及管理人员根据实际业务需求进行参数配置调整</w:t>
                  </w:r>
                </w:p>
              </w:tc>
            </w:tr>
            <w:tr>
              <w:tc>
                <w:tcPr>
                  <w:tcW w:type="dxa" w:w="471"/>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902"/>
                  <w:tcBorders>
                    <w:top w:val="none" w:color="000000" w:sz="4"/>
                    <w:left w:val="single" w:color="000000" w:sz="4"/>
                    <w:bottom w:val="single" w:color="000000" w:sz="4"/>
                    <w:right w:val="single" w:color="000000" w:sz="4"/>
                  </w:tcBorders>
                  <w:vAlign w:val="top"/>
                </w:tcPr>
                <w:p>
                  <w:pPr>
                    <w:jc w:val="left"/>
                  </w:pPr>
                  <w:r>
                    <w:rPr>
                      <w:color w:val="000000"/>
                      <w:sz w:val="21"/>
                    </w:rPr>
                    <w:t>接口</w:t>
                  </w:r>
                </w:p>
              </w:tc>
              <w:tc>
                <w:tcPr>
                  <w:tcW w:type="dxa" w:w="4059"/>
                  <w:tcBorders>
                    <w:top w:val="none" w:color="000000" w:sz="4"/>
                    <w:left w:val="single" w:color="000000" w:sz="4"/>
                    <w:bottom w:val="single" w:color="000000" w:sz="4"/>
                    <w:right w:val="single" w:color="000000" w:sz="4"/>
                  </w:tcBorders>
                  <w:vAlign w:val="top"/>
                </w:tcPr>
                <w:p>
                  <w:pPr>
                    <w:jc w:val="left"/>
                  </w:pPr>
                  <w:r>
                    <w:rPr>
                      <w:color w:val="000000"/>
                      <w:sz w:val="21"/>
                    </w:rPr>
                    <w:t>完成</w:t>
                  </w:r>
                  <w:r>
                    <w:rPr>
                      <w:color w:val="000000"/>
                      <w:sz w:val="21"/>
                    </w:rPr>
                    <w:t>HIS、PACS、LIS及血库等现有系统接入(包括市120急救系统、南海区危急重症和随访等系统对接，建立院前、院中及院后急救信息化体系），挂号、接诊信息回写等</w:t>
                  </w:r>
                </w:p>
              </w:tc>
            </w:tr>
          </w:tbl>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急诊管理系统开发服务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建设目标</w:t>
            </w:r>
          </w:p>
          <w:p>
            <w:pPr>
              <w:ind w:firstLine="420"/>
              <w:jc w:val="both"/>
            </w:pPr>
            <w:r>
              <w:rPr>
                <w:sz w:val="21"/>
              </w:rPr>
              <w:t>采购人</w:t>
            </w:r>
            <w:r>
              <w:rPr>
                <w:sz w:val="21"/>
              </w:rPr>
              <w:t>门急诊已经建立了相对成熟的就医流程，需要建立</w:t>
            </w:r>
            <w:r>
              <w:rPr>
                <w:sz w:val="21"/>
              </w:rPr>
              <w:t>急诊的信息系统建设</w:t>
            </w:r>
            <w:r>
              <w:rPr>
                <w:sz w:val="21"/>
              </w:rPr>
              <w:t>，主要目标：</w:t>
            </w:r>
          </w:p>
          <w:p>
            <w:pPr>
              <w:ind w:firstLine="420"/>
              <w:jc w:val="left"/>
            </w:pPr>
            <w:r>
              <w:rPr>
                <w:sz w:val="21"/>
              </w:rPr>
              <w:t>1.1.</w:t>
            </w:r>
            <w:r>
              <w:rPr>
                <w:sz w:val="21"/>
              </w:rPr>
              <w:t>自动采集监护信息：预检分诊系统可通过接口自动采集血压、血氧饱和度数据。（备注：生命体征采集仪需要提供接口）</w:t>
            </w:r>
          </w:p>
          <w:p>
            <w:pPr>
              <w:ind w:firstLine="420"/>
              <w:jc w:val="both"/>
            </w:pPr>
            <w:r>
              <w:rPr>
                <w:sz w:val="21"/>
              </w:rPr>
              <w:t>1.2.</w:t>
            </w:r>
            <w:r>
              <w:rPr>
                <w:sz w:val="21"/>
              </w:rPr>
              <w:t>多系统集成：能够从</w:t>
            </w:r>
            <w:r>
              <w:rPr>
                <w:sz w:val="21"/>
              </w:rPr>
              <w:t>HIS系统中自动获取患者基本信息，分诊信息能够传到挂号收费系统中。急诊医生工作站可以获取分诊患者的基本信息、生命体征和分诊信息。</w:t>
            </w:r>
          </w:p>
          <w:p>
            <w:pPr>
              <w:ind w:firstLine="420"/>
              <w:jc w:val="both"/>
            </w:pPr>
            <w:r>
              <w:rPr>
                <w:sz w:val="21"/>
              </w:rPr>
              <w:t>1.3.</w:t>
            </w:r>
            <w:r>
              <w:rPr>
                <w:sz w:val="21"/>
              </w:rPr>
              <w:t>使用轻量：分诊主要工作集成在同一个页面中，减少不必要的操作，方便使用。</w:t>
            </w:r>
          </w:p>
          <w:p>
            <w:pPr>
              <w:ind w:firstLine="420"/>
              <w:jc w:val="both"/>
            </w:pPr>
            <w:r>
              <w:rPr>
                <w:sz w:val="21"/>
              </w:rPr>
              <w:t>1.4.</w:t>
            </w:r>
            <w:r>
              <w:rPr>
                <w:sz w:val="21"/>
              </w:rPr>
              <w:t>改善患者就医体验：优化急诊业务流程，减少患者在预检分诊台、收费处、抢救室（诊疗室）之间的来回奔波，实现最多跑一次的要求。</w:t>
            </w:r>
          </w:p>
          <w:p>
            <w:pPr>
              <w:jc w:val="both"/>
            </w:pPr>
            <w:r>
              <w:rPr>
                <w:b/>
                <w:sz w:val="21"/>
              </w:rPr>
              <w:t>2.</w:t>
            </w:r>
            <w:r>
              <w:rPr>
                <w:b/>
                <w:sz w:val="21"/>
              </w:rPr>
              <w:t>总体技术要求</w:t>
            </w:r>
          </w:p>
          <w:p>
            <w:pPr>
              <w:ind w:firstLine="420"/>
              <w:jc w:val="both"/>
            </w:pPr>
            <w:r>
              <w:rPr>
                <w:sz w:val="21"/>
              </w:rPr>
              <w:t>2.1.</w:t>
            </w:r>
            <w:r>
              <w:rPr>
                <w:sz w:val="21"/>
              </w:rPr>
              <w:t>项目建设包含需求调研、软件设计、系统开发、测试、实施部署、培训和医院现有信息系统的软件调整改造，即一直到整个项目调试验收合格交付</w:t>
            </w:r>
            <w:r>
              <w:rPr>
                <w:sz w:val="21"/>
              </w:rPr>
              <w:t>采购人</w:t>
            </w:r>
            <w:r>
              <w:rPr>
                <w:sz w:val="21"/>
              </w:rPr>
              <w:t>使用，</w:t>
            </w:r>
            <w:r>
              <w:rPr>
                <w:sz w:val="21"/>
              </w:rPr>
              <w:t>采购人</w:t>
            </w:r>
            <w:r>
              <w:rPr>
                <w:sz w:val="21"/>
              </w:rPr>
              <w:t>不再另行支付费用。</w:t>
            </w:r>
          </w:p>
          <w:p>
            <w:pPr>
              <w:ind w:firstLine="420"/>
              <w:jc w:val="both"/>
            </w:pPr>
            <w:r>
              <w:rPr>
                <w:sz w:val="21"/>
              </w:rPr>
              <w:t>2.2.</w:t>
            </w:r>
            <w:r>
              <w:rPr>
                <w:sz w:val="21"/>
              </w:rPr>
              <w:t>项目应基于医院现有的硬件、网络、软件系统平台和数据库环境，充分利用现有资源，不浪费现有设备。</w:t>
            </w:r>
          </w:p>
          <w:p>
            <w:pPr>
              <w:ind w:firstLine="420"/>
              <w:jc w:val="both"/>
            </w:pPr>
            <w:r>
              <w:rPr>
                <w:sz w:val="21"/>
              </w:rPr>
              <w:t>2.3.</w:t>
            </w:r>
            <w:r>
              <w:rPr>
                <w:sz w:val="21"/>
              </w:rPr>
              <w:t>投标产品采用业界公认的安全、高效的大型数据库。</w:t>
            </w:r>
          </w:p>
          <w:p>
            <w:pPr>
              <w:ind w:firstLine="420"/>
              <w:jc w:val="both"/>
            </w:pPr>
            <w:r>
              <w:rPr>
                <w:sz w:val="21"/>
              </w:rPr>
              <w:t>2.4.</w:t>
            </w:r>
            <w:r>
              <w:rPr>
                <w:sz w:val="21"/>
              </w:rPr>
              <w:t>数据库设计结构合理，运行效率高。</w:t>
            </w:r>
          </w:p>
          <w:p>
            <w:pPr>
              <w:ind w:firstLine="420"/>
              <w:jc w:val="both"/>
            </w:pPr>
            <w:r>
              <w:rPr>
                <w:sz w:val="21"/>
              </w:rPr>
              <w:t>2.5.</w:t>
            </w:r>
            <w:r>
              <w:rPr>
                <w:sz w:val="21"/>
              </w:rPr>
              <w:t>接口建设遵从所涉及的业务的国际标准、国家标准及规范各项技术规定，做好系统的标准化设计与管理工作。</w:t>
            </w:r>
          </w:p>
          <w:p>
            <w:pPr>
              <w:ind w:firstLine="420"/>
              <w:jc w:val="both"/>
            </w:pPr>
            <w:r>
              <w:rPr>
                <w:sz w:val="21"/>
              </w:rPr>
              <w:t>2.6.</w:t>
            </w:r>
            <w:r>
              <w:rPr>
                <w:sz w:val="21"/>
              </w:rPr>
              <w:t>要求向</w:t>
            </w:r>
            <w:r>
              <w:rPr>
                <w:sz w:val="21"/>
              </w:rPr>
              <w:t>采购人</w:t>
            </w:r>
            <w:r>
              <w:rPr>
                <w:sz w:val="21"/>
              </w:rPr>
              <w:t>开放本次项目涉及软件接口的源代码。</w:t>
            </w:r>
          </w:p>
          <w:p>
            <w:pPr>
              <w:ind w:firstLine="420"/>
              <w:jc w:val="both"/>
            </w:pPr>
            <w:r>
              <w:rPr>
                <w:sz w:val="21"/>
              </w:rPr>
              <w:t>2.7.</w:t>
            </w:r>
            <w:r>
              <w:rPr>
                <w:sz w:val="21"/>
              </w:rPr>
              <w:t>本次项目涉及的接口建设需以医院信息平台接口为标准，实现与院内</w:t>
            </w:r>
            <w:r>
              <w:rPr>
                <w:sz w:val="21"/>
              </w:rPr>
              <w:t>HIS系统进行对接集成，中标人不再向采购人收取接口费用，涉及到采购人院内HIS等对接第三方厂家收取的接口费用由中标人自主承担。</w:t>
            </w:r>
          </w:p>
          <w:p>
            <w:pPr>
              <w:jc w:val="both"/>
            </w:pPr>
            <w:r>
              <w:rPr>
                <w:b/>
                <w:sz w:val="21"/>
              </w:rPr>
              <w:t>3.</w:t>
            </w:r>
            <w:r>
              <w:rPr>
                <w:b/>
                <w:sz w:val="21"/>
              </w:rPr>
              <w:t>详细参数要求</w:t>
            </w:r>
          </w:p>
          <w:p>
            <w:pPr>
              <w:jc w:val="both"/>
            </w:pPr>
            <w:r>
              <w:rPr>
                <w:b/>
                <w:sz w:val="21"/>
              </w:rPr>
              <w:t>3.1.</w:t>
            </w:r>
            <w:r>
              <w:rPr>
                <w:b/>
                <w:sz w:val="21"/>
              </w:rPr>
              <w:t>急诊管理系统</w:t>
            </w:r>
          </w:p>
          <w:tbl>
            <w:tblPr>
              <w:tblInd w:type="dxa" w:w="195"/>
              <w:tblBorders>
                <w:top w:val="none" w:color="000000" w:sz="4"/>
                <w:left w:val="none" w:color="000000" w:sz="4"/>
                <w:bottom w:val="none" w:color="000000" w:sz="4"/>
                <w:right w:val="none" w:color="000000" w:sz="4"/>
                <w:insideH w:val="none"/>
                <w:insideV w:val="none"/>
              </w:tblBorders>
            </w:tblPr>
            <w:tblGrid>
              <w:gridCol w:w="460"/>
              <w:gridCol w:w="819"/>
              <w:gridCol w:w="849"/>
              <w:gridCol w:w="3305"/>
            </w:tblGrid>
            <w:tr>
              <w:tc>
                <w:tcPr>
                  <w:tcW w:type="dxa" w:w="460"/>
                  <w:tcBorders>
                    <w:top w:val="single" w:color="000000" w:sz="4"/>
                    <w:left w:val="single" w:color="000000" w:sz="4"/>
                    <w:bottom w:val="single" w:color="000000" w:sz="4"/>
                    <w:right w:val="single" w:color="000000" w:sz="4"/>
                  </w:tcBorders>
                  <w:shd w:fill="EEECE1"/>
                  <w:vAlign w:val="top"/>
                </w:tcPr>
                <w:p>
                  <w:pPr>
                    <w:jc w:val="center"/>
                  </w:pPr>
                  <w:r>
                    <w:rPr>
                      <w:b/>
                      <w:sz w:val="21"/>
                    </w:rPr>
                    <w:t>序号</w:t>
                  </w:r>
                </w:p>
              </w:tc>
              <w:tc>
                <w:tcPr>
                  <w:tcW w:type="dxa" w:w="819"/>
                  <w:tcBorders>
                    <w:top w:val="single" w:color="000000" w:sz="4"/>
                    <w:left w:val="none" w:color="000000" w:sz="4"/>
                    <w:bottom w:val="single" w:color="000000" w:sz="4"/>
                    <w:right w:val="single" w:color="000000" w:sz="4"/>
                  </w:tcBorders>
                  <w:shd w:fill="EEECE1"/>
                  <w:vAlign w:val="top"/>
                </w:tcPr>
                <w:p>
                  <w:pPr>
                    <w:jc w:val="center"/>
                  </w:pPr>
                  <w:r>
                    <w:rPr>
                      <w:b/>
                      <w:sz w:val="21"/>
                    </w:rPr>
                    <w:t>功能要求</w:t>
                  </w:r>
                </w:p>
              </w:tc>
              <w:tc>
                <w:tcPr>
                  <w:tcW w:type="dxa" w:w="4154"/>
                  <w:gridSpan w:val="2"/>
                  <w:tcBorders>
                    <w:top w:val="single" w:color="000000" w:sz="4"/>
                    <w:left w:val="none" w:color="000000" w:sz="4"/>
                    <w:bottom w:val="single" w:color="000000" w:sz="4"/>
                    <w:right w:val="single" w:color="000000" w:sz="4"/>
                  </w:tcBorders>
                  <w:shd w:fill="EEECE1"/>
                  <w:vAlign w:val="top"/>
                </w:tcPr>
                <w:p>
                  <w:pPr>
                    <w:jc w:val="center"/>
                  </w:pPr>
                  <w:r>
                    <w:rPr>
                      <w:b/>
                      <w:sz w:val="21"/>
                    </w:rPr>
                    <w:t>详细技术参数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w:t>
                  </w:r>
                </w:p>
              </w:tc>
              <w:tc>
                <w:tcPr>
                  <w:tcW w:type="dxa" w:w="819"/>
                  <w:vMerge w:val="restart"/>
                  <w:tcBorders>
                    <w:top w:val="none" w:color="000000" w:sz="4"/>
                    <w:left w:val="none" w:color="000000" w:sz="4"/>
                    <w:bottom w:val="single" w:color="000000" w:sz="4"/>
                    <w:right w:val="single" w:color="000000" w:sz="4"/>
                  </w:tcBorders>
                  <w:vAlign w:val="top"/>
                </w:tcPr>
                <w:p>
                  <w:pPr>
                    <w:jc w:val="left"/>
                  </w:pPr>
                  <w:r>
                    <w:rPr>
                      <w:sz w:val="21"/>
                    </w:rPr>
                    <w:t>急诊医生工作站</w:t>
                  </w: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实现绿通患者先接诊后结算</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实现接诊查看患者预检信息，包括患者基本信息、体征数据等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实现调取患者本院历史病历及诊疗数据</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实现发起会诊邀请，填写会诊结果，查看患者会诊信息等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5</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实现调取急诊病历及急症病程记录模板，快捷书写急诊病历，病历元素全局应用</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6</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实现病历填写过程中，可随时引入生命体征记录、检验检查结果、医嘱开具情况等数据进行辅助录入</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7</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实现开具检查、化验及用血等医嘱</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8</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实现开具药品处方</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9</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实现检查、检验危急值消息接入</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819"/>
                  <w:vMerge/>
                  <w:tcBorders>
                    <w:top w:val="none" w:color="000000" w:sz="4"/>
                    <w:left w:val="none" w:color="000000" w:sz="4"/>
                    <w:bottom w:val="single" w:color="000000" w:sz="4"/>
                    <w:right w:val="single" w:color="000000" w:sz="4"/>
                  </w:tcBorders>
                </w:tcP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实现诊毕自动同步患者离院去向</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819"/>
                  <w:vMerge w:val="restart"/>
                  <w:tcBorders>
                    <w:top w:val="none" w:color="000000" w:sz="4"/>
                    <w:left w:val="none" w:color="000000" w:sz="4"/>
                    <w:bottom w:val="single" w:color="000000" w:sz="4"/>
                    <w:right w:val="single" w:color="000000" w:sz="4"/>
                  </w:tcBorders>
                  <w:vAlign w:val="top"/>
                </w:tcPr>
                <w:p>
                  <w:pPr>
                    <w:jc w:val="left"/>
                  </w:pPr>
                  <w:r>
                    <w:rPr>
                      <w:sz w:val="21"/>
                    </w:rPr>
                    <w:t>急诊护士工作站</w:t>
                  </w:r>
                </w:p>
              </w:tc>
              <w:tc>
                <w:tcPr>
                  <w:tcW w:type="dxa" w:w="849"/>
                  <w:vMerge w:val="restart"/>
                  <w:tcBorders>
                    <w:top w:val="none" w:color="000000" w:sz="4"/>
                    <w:left w:val="none" w:color="000000" w:sz="4"/>
                    <w:bottom w:val="single" w:color="000000" w:sz="4"/>
                    <w:right w:val="single" w:color="000000" w:sz="4"/>
                  </w:tcBorders>
                  <w:vAlign w:val="top"/>
                </w:tcPr>
                <w:p>
                  <w:pPr>
                    <w:jc w:val="left"/>
                  </w:pPr>
                  <w:r>
                    <w:rPr>
                      <w:sz w:val="21"/>
                    </w:rPr>
                    <w:t>留抢患者登记</w:t>
                  </w:r>
                </w:p>
              </w:tc>
              <w:tc>
                <w:tcPr>
                  <w:tcW w:type="dxa" w:w="3305"/>
                  <w:tcBorders>
                    <w:top w:val="single" w:color="000000" w:sz="4"/>
                    <w:left w:val="none" w:color="000000" w:sz="4"/>
                    <w:bottom w:val="single" w:color="000000" w:sz="4"/>
                    <w:right w:val="single" w:color="000000" w:sz="4"/>
                  </w:tcBorders>
                  <w:vAlign w:val="top"/>
                </w:tcPr>
                <w:p>
                  <w:pPr>
                    <w:jc w:val="left"/>
                  </w:pPr>
                  <w:r>
                    <w:rPr>
                      <w:sz w:val="21"/>
                    </w:rPr>
                    <w:t>实现按三区四级标准，快速建立留抢患者列表，包括：患者分级、姓名、状态、滞留时长、初步印象、留抢时间、离抢时间、转归去向等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12</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实现对分诊至抢救室进行留抢患者登记，实现获取患者预检信息</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13</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实现列表、卡片等模式展示留抢患者，实现两种模式自由切换，并根据患者病情严重程度以不同颜色区分，且根据病情发展情况进行编辑管理</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14</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实现留抢患者与</w:t>
                  </w:r>
                  <w:r>
                    <w:rPr>
                      <w:sz w:val="21"/>
                    </w:rPr>
                    <w:t>FRID设备绑定，借助FRID设备自动记录患者入抢、离抢时间等关键信息</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15</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实现重点患者标记管理，添加重点关注标记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16</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实现根据患者就诊卡、姓名、床号精准搜索</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17</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实现根据患者属性实现快速人群检索</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18</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实现根据滞留时长（</w:t>
                  </w:r>
                  <w:r>
                    <w:rPr>
                      <w:sz w:val="21"/>
                    </w:rPr>
                    <w:t>&gt;24小时，&gt;48小时，&gt;72小时）快捷检索</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19</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实现留抢患者列表导出</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20</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实现查看患者病情概览，包括：基本信息、分诊信息、体征数据、流转信息等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21</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实现引入预检评估结果，提供根据患者病症、主诉等自行添加相关评分表</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22</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实现展示患者评分列表及趋势图，展示多次评估结果及趋势</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23</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实现患者腕带打印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24</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实现与硬件设备（心电、体征监护仪等）接口自动读取患者生命体征（血压、心率、呼吸、血氧等）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25</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实现留观患者床位管理，提供床位分配、转床功能</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26</w:t>
                  </w:r>
                </w:p>
              </w:tc>
              <w:tc>
                <w:tcPr>
                  <w:tcW w:type="dxa" w:w="819"/>
                  <w:vMerge/>
                  <w:tcBorders>
                    <w:top w:val="none" w:color="000000" w:sz="4"/>
                    <w:left w:val="none" w:color="000000" w:sz="4"/>
                    <w:bottom w:val="single" w:color="000000" w:sz="4"/>
                    <w:right w:val="single" w:color="000000" w:sz="4"/>
                  </w:tcBorders>
                </w:tcPr>
                <w:p/>
              </w:tc>
              <w:tc>
                <w:tcPr>
                  <w:tcW w:type="dxa" w:w="849"/>
                  <w:vMerge w:val="restart"/>
                  <w:tcBorders>
                    <w:top w:val="none" w:color="000000" w:sz="4"/>
                    <w:left w:val="none" w:color="000000" w:sz="4"/>
                    <w:bottom w:val="single" w:color="000000" w:sz="4"/>
                    <w:right w:val="single" w:color="000000" w:sz="4"/>
                  </w:tcBorders>
                  <w:vAlign w:val="top"/>
                </w:tcPr>
                <w:p>
                  <w:pPr>
                    <w:jc w:val="left"/>
                  </w:pPr>
                  <w:r>
                    <w:rPr>
                      <w:sz w:val="21"/>
                    </w:rPr>
                    <w:t>留抢患者护理评估</w:t>
                  </w: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实现通过患者列表、卡片视图快捷进入患者医嘱、护理管理界面</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27</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实现入院护理评估单，包括：患者基本信息，疾病的重要症状、生命体征、生理参数、表征（气道、呼吸、循环、出血、</w:t>
                  </w:r>
                  <w:r>
                    <w:rPr>
                      <w:sz w:val="21"/>
                    </w:rPr>
                    <w:t>NS、瞳孔、腹部、皮肤）、过敏史等一系列的生理参数、生命体征等综合评估患者危重情况</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28</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实现医嘱管理，包括：新医嘱、未执行提醒，医嘱复核、执行功能</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29</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实现系统评估，根据患者病情添加相应的护理评估单，包括：</w:t>
                  </w:r>
                  <w:r>
                    <w:rPr>
                      <w:sz w:val="21"/>
                    </w:rPr>
                    <w:t>Barden 评分、ADL 评分、坠床跌倒评估、疼痛评分、疼痛评估、神经系统评估、呼吸系统评估、心血管系统评估、消化系统评估、泌尿生殖系统评估、导管评估等评估项，通过全局参数实现半自动化评估，支持打印评估单</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30</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实现护理记录单，通过调取护理记录病历模板实现电子化录入</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31</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实现知情同意书打印、签署，如：病危通知书、坠床风险知情同意书等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32</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实现快速录入观察项、出入量、导管信息</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33</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实现护理文书结构化模板应用，实现动态结构化病情录入，快捷获取患者检查、化验指标数据结果，减少护理录入时间</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34</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实现出入量，体液（尿液、呕吐物等）出量录入</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35</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实现出入量项目的自定义管理</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36</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实现患者交接单打印、签署</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37</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实现以患者为中心，展示患者综合视图，包括：患者基本信息、预检信息、医嘱信息、费用信息、会诊信息、就治时间轴等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38</w:t>
                  </w:r>
                </w:p>
              </w:tc>
              <w:tc>
                <w:tcPr>
                  <w:tcW w:type="dxa" w:w="819"/>
                  <w:tcBorders>
                    <w:top w:val="none" w:color="000000" w:sz="4"/>
                    <w:left w:val="none" w:color="000000" w:sz="4"/>
                    <w:bottom w:val="single" w:color="000000" w:sz="4"/>
                    <w:right w:val="single" w:color="000000" w:sz="4"/>
                  </w:tcBorders>
                  <w:vAlign w:val="top"/>
                </w:tcPr>
                <w:p>
                  <w:pPr>
                    <w:jc w:val="left"/>
                  </w:pPr>
                  <w:r>
                    <w:rPr>
                      <w:sz w:val="21"/>
                    </w:rPr>
                    <w:t>统计报表</w:t>
                  </w:r>
                </w:p>
              </w:tc>
              <w:tc>
                <w:tcPr>
                  <w:tcW w:type="dxa" w:w="4154"/>
                  <w:gridSpan w:val="2"/>
                  <w:tcBorders>
                    <w:top w:val="none" w:color="000000" w:sz="4"/>
                    <w:left w:val="none" w:color="000000" w:sz="4"/>
                    <w:bottom w:val="single" w:color="000000" w:sz="4"/>
                    <w:right w:val="single" w:color="000000" w:sz="4"/>
                  </w:tcBorders>
                  <w:vAlign w:val="top"/>
                </w:tcPr>
                <w:p>
                  <w:pPr>
                    <w:jc w:val="left"/>
                  </w:pPr>
                  <w:r>
                    <w:rPr>
                      <w:sz w:val="21"/>
                    </w:rPr>
                    <w:t>通过线图、饼图、组合图等形式，直观展示工作量、质控数据统计，提供不同时间颗粒、不同维度的统计方式，实现数据导出功能，如：抢救室滞留时间中位数、抢救措施统计（实现不同时间颗粒（季度、月度、日）、急诊抢救患者死亡率、门药时间报表等</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39</w:t>
                  </w:r>
                </w:p>
              </w:tc>
              <w:tc>
                <w:tcPr>
                  <w:tcW w:type="dxa" w:w="819"/>
                  <w:vMerge w:val="restart"/>
                  <w:tcBorders>
                    <w:top w:val="none" w:color="000000" w:sz="4"/>
                    <w:left w:val="none" w:color="000000" w:sz="4"/>
                    <w:bottom w:val="single" w:color="000000" w:sz="4"/>
                    <w:right w:val="single" w:color="000000" w:sz="4"/>
                  </w:tcBorders>
                  <w:vAlign w:val="top"/>
                </w:tcPr>
                <w:p>
                  <w:pPr>
                    <w:jc w:val="left"/>
                  </w:pPr>
                  <w:r>
                    <w:rPr>
                      <w:sz w:val="21"/>
                    </w:rPr>
                    <w:t>急诊皮试管理</w:t>
                  </w:r>
                </w:p>
              </w:tc>
              <w:tc>
                <w:tcPr>
                  <w:tcW w:type="dxa" w:w="849"/>
                  <w:tcBorders>
                    <w:top w:val="none" w:color="000000" w:sz="4"/>
                    <w:left w:val="none" w:color="000000" w:sz="4"/>
                    <w:bottom w:val="single" w:color="000000" w:sz="4"/>
                    <w:right w:val="single" w:color="000000" w:sz="4"/>
                  </w:tcBorders>
                  <w:vAlign w:val="top"/>
                </w:tcPr>
                <w:p>
                  <w:pPr>
                    <w:jc w:val="left"/>
                  </w:pPr>
                  <w:r>
                    <w:rPr>
                      <w:sz w:val="21"/>
                    </w:rPr>
                    <w:t>皮试登记</w:t>
                  </w:r>
                </w:p>
              </w:tc>
              <w:tc>
                <w:tcPr>
                  <w:tcW w:type="dxa" w:w="3305"/>
                  <w:tcBorders>
                    <w:top w:val="single" w:color="000000" w:sz="4"/>
                    <w:left w:val="none" w:color="000000" w:sz="4"/>
                    <w:bottom w:val="single" w:color="000000" w:sz="4"/>
                    <w:right w:val="single" w:color="000000" w:sz="4"/>
                  </w:tcBorders>
                  <w:vAlign w:val="top"/>
                </w:tcPr>
                <w:p>
                  <w:pPr>
                    <w:jc w:val="left"/>
                  </w:pPr>
                  <w:r>
                    <w:rPr>
                      <w:sz w:val="21"/>
                    </w:rPr>
                    <w:t>实现读卡后显示患者基本信息、药品信息，皮试信息的登记提交</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40</w:t>
                  </w:r>
                </w:p>
              </w:tc>
              <w:tc>
                <w:tcPr>
                  <w:tcW w:type="dxa" w:w="819"/>
                  <w:vMerge/>
                  <w:tcBorders>
                    <w:top w:val="none" w:color="000000" w:sz="4"/>
                    <w:left w:val="non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vAlign w:val="top"/>
                </w:tcPr>
                <w:p>
                  <w:pPr>
                    <w:jc w:val="left"/>
                  </w:pPr>
                  <w:r>
                    <w:rPr>
                      <w:sz w:val="21"/>
                    </w:rPr>
                    <w:t>皮试列表</w:t>
                  </w:r>
                </w:p>
              </w:tc>
              <w:tc>
                <w:tcPr>
                  <w:tcW w:type="dxa" w:w="3305"/>
                  <w:tcBorders>
                    <w:top w:val="none" w:color="000000" w:sz="4"/>
                    <w:left w:val="none" w:color="000000" w:sz="4"/>
                    <w:bottom w:val="single" w:color="000000" w:sz="4"/>
                    <w:right w:val="single" w:color="000000" w:sz="4"/>
                  </w:tcBorders>
                  <w:vAlign w:val="top"/>
                </w:tcPr>
                <w:p>
                  <w:pPr>
                    <w:jc w:val="left"/>
                  </w:pPr>
                  <w:r>
                    <w:rPr>
                      <w:sz w:val="21"/>
                    </w:rPr>
                    <w:t>展示患者的皮试信息（内容包括患者姓名、性别、年龄、药品名称、剂量、皮试观察时间、倒计时）。同时实现重新计时、皮试结果录入和消息备注并将结果同步到门诊医生站</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41</w:t>
                  </w:r>
                </w:p>
              </w:tc>
              <w:tc>
                <w:tcPr>
                  <w:tcW w:type="dxa" w:w="819"/>
                  <w:vMerge/>
                  <w:tcBorders>
                    <w:top w:val="none" w:color="000000" w:sz="4"/>
                    <w:left w:val="non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vAlign w:val="top"/>
                </w:tcPr>
                <w:p>
                  <w:pPr>
                    <w:jc w:val="left"/>
                  </w:pPr>
                  <w:r>
                    <w:rPr>
                      <w:sz w:val="21"/>
                    </w:rPr>
                    <w:t>皮试反馈</w:t>
                  </w: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实现提示录入皮试反馈</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42</w:t>
                  </w:r>
                </w:p>
              </w:tc>
              <w:tc>
                <w:tcPr>
                  <w:tcW w:type="dxa" w:w="819"/>
                  <w:vMerge/>
                  <w:tcBorders>
                    <w:top w:val="none" w:color="000000" w:sz="4"/>
                    <w:left w:val="non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vAlign w:val="top"/>
                </w:tcPr>
                <w:p>
                  <w:pPr>
                    <w:jc w:val="left"/>
                  </w:pPr>
                  <w:r>
                    <w:rPr>
                      <w:sz w:val="21"/>
                    </w:rPr>
                    <w:t>皮试记录</w:t>
                  </w: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实现查看、统计皮试数据信息</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43</w:t>
                  </w:r>
                </w:p>
              </w:tc>
              <w:tc>
                <w:tcPr>
                  <w:tcW w:type="dxa" w:w="819"/>
                  <w:vMerge w:val="restart"/>
                  <w:tcBorders>
                    <w:top w:val="none" w:color="000000" w:sz="4"/>
                    <w:left w:val="none" w:color="000000" w:sz="4"/>
                    <w:bottom w:val="single" w:color="000000" w:sz="4"/>
                    <w:right w:val="single" w:color="000000" w:sz="4"/>
                  </w:tcBorders>
                  <w:vAlign w:val="top"/>
                </w:tcPr>
                <w:p>
                  <w:pPr>
                    <w:jc w:val="left"/>
                  </w:pPr>
                  <w:r>
                    <w:rPr>
                      <w:sz w:val="21"/>
                    </w:rPr>
                    <w:t>急诊输液管理系统</w:t>
                  </w:r>
                </w:p>
              </w:tc>
              <w:tc>
                <w:tcPr>
                  <w:tcW w:type="dxa" w:w="849"/>
                  <w:vMerge w:val="restart"/>
                  <w:tcBorders>
                    <w:top w:val="none" w:color="000000" w:sz="4"/>
                    <w:left w:val="none" w:color="000000" w:sz="4"/>
                    <w:bottom w:val="single" w:color="000000" w:sz="4"/>
                    <w:right w:val="single" w:color="000000" w:sz="4"/>
                  </w:tcBorders>
                  <w:vAlign w:val="top"/>
                </w:tcPr>
                <w:p>
                  <w:pPr>
                    <w:jc w:val="left"/>
                  </w:pPr>
                  <w:r>
                    <w:rPr>
                      <w:sz w:val="21"/>
                    </w:rPr>
                    <w:t>输液</w:t>
                  </w:r>
                  <w:r>
                    <w:rPr>
                      <w:sz w:val="21"/>
                    </w:rPr>
                    <w:t>-接药</w:t>
                  </w:r>
                </w:p>
              </w:tc>
              <w:tc>
                <w:tcPr>
                  <w:tcW w:type="dxa" w:w="3305"/>
                  <w:tcBorders>
                    <w:top w:val="none" w:color="000000" w:sz="4"/>
                    <w:left w:val="none" w:color="000000" w:sz="4"/>
                    <w:bottom w:val="single" w:color="000000" w:sz="4"/>
                    <w:right w:val="single" w:color="000000" w:sz="4"/>
                  </w:tcBorders>
                  <w:vAlign w:val="top"/>
                </w:tcPr>
                <w:p>
                  <w:pPr>
                    <w:jc w:val="left"/>
                  </w:pPr>
                  <w:r>
                    <w:rPr>
                      <w:sz w:val="21"/>
                    </w:rPr>
                    <w:t>接药登记：实现护士扫码或读卡核对本次输液药品，进行接药登记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44</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选座：实现为患者选择座位。</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45</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组方：实现组方和取消组方</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46</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打印：实现双联单打印及补打印。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47</w:t>
                  </w: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收费项目</w:t>
                  </w:r>
                  <w:r>
                    <w:rPr>
                      <w:sz w:val="21"/>
                    </w:rPr>
                    <w:t>:实现查看本次医嘱对应的收费项目信息，提供输液费不足时补缴登记。</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2"/>
                    </w:rPr>
                    <w:t>48</w:t>
                  </w:r>
                </w:p>
              </w:tc>
              <w:tc>
                <w:tcPr>
                  <w:tcW w:type="dxa" w:w="819"/>
                  <w:vMerge/>
                  <w:tcBorders>
                    <w:top w:val="none" w:color="000000" w:sz="4"/>
                    <w:left w:val="none" w:color="000000" w:sz="4"/>
                    <w:bottom w:val="single" w:color="000000" w:sz="4"/>
                    <w:right w:val="single" w:color="000000" w:sz="4"/>
                  </w:tcBorders>
                </w:tcPr>
                <w:p/>
              </w:tc>
              <w:tc>
                <w:tcPr>
                  <w:tcW w:type="dxa" w:w="849"/>
                  <w:tcBorders>
                    <w:top w:val="none" w:color="000000" w:sz="4"/>
                    <w:left w:val="none" w:color="000000" w:sz="4"/>
                    <w:bottom w:val="single" w:color="000000" w:sz="4"/>
                    <w:right w:val="single" w:color="000000" w:sz="4"/>
                  </w:tcBorders>
                  <w:vAlign w:val="top"/>
                </w:tcPr>
                <w:p>
                  <w:pPr>
                    <w:jc w:val="left"/>
                  </w:pPr>
                  <w:r>
                    <w:rPr>
                      <w:sz w:val="21"/>
                    </w:rPr>
                    <w:t>输液</w:t>
                  </w:r>
                  <w:r>
                    <w:rPr>
                      <w:sz w:val="21"/>
                    </w:rPr>
                    <w:t>-输液执行</w:t>
                  </w: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实现查看输液患者执行情况，动态反映输液过程</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2"/>
                    </w:rPr>
                    <w:t>49</w:t>
                  </w:r>
                </w:p>
              </w:tc>
              <w:tc>
                <w:tcPr>
                  <w:tcW w:type="dxa" w:w="819"/>
                  <w:vMerge/>
                  <w:tcBorders>
                    <w:top w:val="none" w:color="000000" w:sz="4"/>
                    <w:left w:val="none" w:color="000000" w:sz="4"/>
                    <w:bottom w:val="single" w:color="000000" w:sz="4"/>
                    <w:right w:val="single" w:color="000000" w:sz="4"/>
                  </w:tcBorders>
                </w:tcPr>
                <w:p/>
              </w:tc>
              <w:tc>
                <w:tcPr>
                  <w:tcW w:type="dxa" w:w="849"/>
                  <w:vMerge w:val="restart"/>
                  <w:tcBorders>
                    <w:top w:val="none" w:color="000000" w:sz="4"/>
                    <w:left w:val="none" w:color="000000" w:sz="4"/>
                    <w:bottom w:val="single" w:color="000000" w:sz="4"/>
                    <w:right w:val="single" w:color="000000" w:sz="4"/>
                  </w:tcBorders>
                  <w:vAlign w:val="top"/>
                </w:tcPr>
                <w:p>
                  <w:pPr>
                    <w:jc w:val="left"/>
                  </w:pPr>
                  <w:r>
                    <w:rPr>
                      <w:sz w:val="21"/>
                    </w:rPr>
                    <w:t>输液工作量统计</w:t>
                  </w: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实现接药记录统计</w:t>
                  </w:r>
                </w:p>
              </w:tc>
            </w:tr>
            <w:tr>
              <w:tc>
                <w:tcPr>
                  <w:tcW w:type="dxa" w:w="460"/>
                  <w:vMerge/>
                  <w:tcBorders>
                    <w:top w:val="none" w:color="000000" w:sz="4"/>
                    <w:left w:val="single" w:color="000000" w:sz="4"/>
                    <w:bottom w:val="single" w:color="000000" w:sz="4"/>
                    <w:right w:val="single" w:color="000000" w:sz="4"/>
                  </w:tcBorders>
                </w:tcP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实现输液记录统计</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2"/>
                    </w:rPr>
                    <w:t>50</w:t>
                  </w:r>
                </w:p>
              </w:tc>
              <w:tc>
                <w:tcPr>
                  <w:tcW w:type="dxa" w:w="819"/>
                  <w:vMerge/>
                  <w:tcBorders>
                    <w:top w:val="none" w:color="000000" w:sz="4"/>
                    <w:left w:val="none" w:color="000000" w:sz="4"/>
                    <w:bottom w:val="single" w:color="000000" w:sz="4"/>
                    <w:right w:val="single" w:color="000000" w:sz="4"/>
                  </w:tcBorders>
                </w:tcPr>
                <w:p/>
              </w:tc>
              <w:tc>
                <w:tcPr>
                  <w:tcW w:type="dxa" w:w="849"/>
                  <w:vMerge w:val="restart"/>
                  <w:tcBorders>
                    <w:top w:val="none" w:color="000000" w:sz="4"/>
                    <w:left w:val="none" w:color="000000" w:sz="4"/>
                    <w:bottom w:val="single" w:color="000000" w:sz="4"/>
                    <w:right w:val="single" w:color="000000" w:sz="4"/>
                  </w:tcBorders>
                  <w:vAlign w:val="top"/>
                </w:tcPr>
                <w:p>
                  <w:pPr>
                    <w:jc w:val="left"/>
                  </w:pPr>
                  <w:r>
                    <w:rPr>
                      <w:sz w:val="21"/>
                    </w:rPr>
                    <w:t>注射处理、统计</w:t>
                  </w:r>
                </w:p>
              </w:tc>
              <w:tc>
                <w:tcPr>
                  <w:tcW w:type="dxa" w:w="3305"/>
                  <w:tcBorders>
                    <w:top w:val="none" w:color="000000" w:sz="4"/>
                    <w:left w:val="none" w:color="000000" w:sz="4"/>
                    <w:bottom w:val="single" w:color="000000" w:sz="4"/>
                    <w:right w:val="single" w:color="000000" w:sz="4"/>
                  </w:tcBorders>
                  <w:vAlign w:val="top"/>
                </w:tcPr>
                <w:p>
                  <w:pPr>
                    <w:jc w:val="left"/>
                  </w:pPr>
                  <w:r>
                    <w:rPr>
                      <w:sz w:val="21"/>
                    </w:rPr>
                    <w:t>注射处理：实现读卡显示患者需要注射的医嘱信息，护士可进行执行确认。</w:t>
                  </w:r>
                </w:p>
              </w:tc>
            </w:tr>
            <w:tr>
              <w:tc>
                <w:tcPr>
                  <w:tcW w:type="dxa" w:w="460"/>
                  <w:vMerge/>
                  <w:tcBorders>
                    <w:top w:val="none" w:color="000000" w:sz="4"/>
                    <w:left w:val="single" w:color="000000" w:sz="4"/>
                    <w:bottom w:val="single" w:color="000000" w:sz="4"/>
                    <w:right w:val="single" w:color="000000" w:sz="4"/>
                  </w:tcBorders>
                </w:tcPr>
                <w:p/>
              </w:tc>
              <w:tc>
                <w:tcPr>
                  <w:tcW w:type="dxa" w:w="819"/>
                  <w:vMerge/>
                  <w:tcBorders>
                    <w:top w:val="none" w:color="000000" w:sz="4"/>
                    <w:left w:val="none" w:color="000000" w:sz="4"/>
                    <w:bottom w:val="single" w:color="000000" w:sz="4"/>
                    <w:right w:val="single" w:color="000000" w:sz="4"/>
                  </w:tcBorders>
                </w:tcPr>
                <w:p/>
              </w:tc>
              <w:tc>
                <w:tcPr>
                  <w:tcW w:type="dxa" w:w="849"/>
                  <w:vMerge/>
                  <w:tcBorders>
                    <w:top w:val="none" w:color="000000" w:sz="4"/>
                    <w:left w:val="none" w:color="000000" w:sz="4"/>
                    <w:bottom w:val="single" w:color="000000" w:sz="4"/>
                    <w:right w:val="single" w:color="000000" w:sz="4"/>
                  </w:tcBorders>
                </w:tcPr>
                <w:p/>
              </w:tc>
              <w:tc>
                <w:tcPr>
                  <w:tcW w:type="dxa" w:w="3305"/>
                  <w:tcBorders>
                    <w:top w:val="none" w:color="000000" w:sz="4"/>
                    <w:left w:val="none" w:color="000000" w:sz="4"/>
                    <w:bottom w:val="single" w:color="000000" w:sz="4"/>
                    <w:right w:val="single" w:color="000000" w:sz="4"/>
                  </w:tcBorders>
                  <w:vAlign w:val="top"/>
                </w:tcPr>
                <w:p>
                  <w:pPr>
                    <w:jc w:val="left"/>
                  </w:pPr>
                  <w:r>
                    <w:rPr>
                      <w:sz w:val="21"/>
                    </w:rPr>
                    <w:t>注射统计：实现查看已完成注射的患者列表，并且可读卡或手定位到个人并查看注射详情。</w:t>
                  </w:r>
                </w:p>
              </w:tc>
            </w:tr>
          </w:tbl>
          <w:p>
            <w:pPr>
              <w:jc w:val="both"/>
            </w:pPr>
          </w:p>
          <w:p>
            <w:pPr>
              <w:jc w:val="both"/>
            </w:pPr>
            <w:r>
              <w:rPr>
                <w:b/>
                <w:sz w:val="21"/>
              </w:rPr>
              <w:t>3.2.</w:t>
            </w:r>
            <w:r>
              <w:rPr>
                <w:b/>
                <w:sz w:val="21"/>
              </w:rPr>
              <w:t>基础管理</w:t>
            </w:r>
          </w:p>
          <w:tbl>
            <w:tblPr>
              <w:tblInd w:type="dxa" w:w="195"/>
              <w:tblBorders>
                <w:top w:val="none" w:color="000000" w:sz="4"/>
                <w:left w:val="none" w:color="000000" w:sz="4"/>
                <w:bottom w:val="none" w:color="000000" w:sz="4"/>
                <w:right w:val="none" w:color="000000" w:sz="4"/>
                <w:insideH w:val="none"/>
                <w:insideV w:val="none"/>
              </w:tblBorders>
            </w:tblPr>
            <w:tblGrid>
              <w:gridCol w:w="461"/>
              <w:gridCol w:w="901"/>
              <w:gridCol w:w="4063"/>
            </w:tblGrid>
            <w:tr>
              <w:tc>
                <w:tcPr>
                  <w:tcW w:type="dxa" w:w="461"/>
                  <w:tcBorders>
                    <w:top w:val="single" w:color="000000" w:sz="4"/>
                    <w:left w:val="single" w:color="000000" w:sz="4"/>
                    <w:bottom w:val="single" w:color="000000" w:sz="4"/>
                    <w:right w:val="single" w:color="000000" w:sz="4"/>
                  </w:tcBorders>
                  <w:shd w:fill="EEECE1"/>
                  <w:vAlign w:val="top"/>
                </w:tcPr>
                <w:p>
                  <w:pPr>
                    <w:jc w:val="center"/>
                  </w:pPr>
                  <w:r>
                    <w:rPr>
                      <w:b/>
                      <w:sz w:val="21"/>
                    </w:rPr>
                    <w:t>序号</w:t>
                  </w:r>
                </w:p>
              </w:tc>
              <w:tc>
                <w:tcPr>
                  <w:tcW w:type="dxa" w:w="901"/>
                  <w:tcBorders>
                    <w:top w:val="single" w:color="000000" w:sz="4"/>
                    <w:left w:val="single" w:color="000000" w:sz="4"/>
                    <w:bottom w:val="single" w:color="000000" w:sz="4"/>
                    <w:right w:val="single" w:color="000000" w:sz="4"/>
                  </w:tcBorders>
                  <w:shd w:fill="EEECE1"/>
                  <w:vAlign w:val="top"/>
                </w:tcPr>
                <w:p>
                  <w:pPr>
                    <w:jc w:val="center"/>
                  </w:pPr>
                  <w:r>
                    <w:rPr>
                      <w:b/>
                      <w:sz w:val="21"/>
                    </w:rPr>
                    <w:t>功能要求</w:t>
                  </w:r>
                </w:p>
              </w:tc>
              <w:tc>
                <w:tcPr>
                  <w:tcW w:type="dxa" w:w="4063"/>
                  <w:tcBorders>
                    <w:top w:val="single" w:color="000000" w:sz="4"/>
                    <w:left w:val="single" w:color="000000" w:sz="4"/>
                    <w:bottom w:val="single" w:color="000000" w:sz="4"/>
                    <w:right w:val="single" w:color="000000" w:sz="4"/>
                  </w:tcBorders>
                  <w:shd w:fill="EEECE1"/>
                  <w:vAlign w:val="top"/>
                </w:tcPr>
                <w:p>
                  <w:pPr>
                    <w:jc w:val="center"/>
                  </w:pPr>
                  <w:r>
                    <w:rPr>
                      <w:b/>
                      <w:sz w:val="21"/>
                    </w:rPr>
                    <w:t>详细技术参数</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1</w:t>
                  </w:r>
                </w:p>
              </w:tc>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患者管理</w:t>
                  </w: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实现查看患者就诊信息过程的时间轴</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2</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实现按患者属性展示特殊标记</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3</w:t>
                  </w:r>
                </w:p>
              </w:tc>
              <w:tc>
                <w:tcPr>
                  <w:tcW w:type="dxa" w:w="901"/>
                  <w:tcBorders>
                    <w:top w:val="none" w:color="000000" w:sz="4"/>
                    <w:left w:val="single" w:color="000000" w:sz="4"/>
                    <w:bottom w:val="single" w:color="000000" w:sz="4"/>
                    <w:right w:val="single" w:color="000000" w:sz="4"/>
                  </w:tcBorders>
                  <w:vAlign w:val="top"/>
                </w:tcPr>
                <w:p>
                  <w:pPr>
                    <w:jc w:val="left"/>
                  </w:pPr>
                  <w:r>
                    <w:rPr>
                      <w:sz w:val="21"/>
                    </w:rPr>
                    <w:t>设备接入管理</w:t>
                  </w: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实现主流仪器接入，如：迈瑞</w:t>
                  </w:r>
                  <w:r>
                    <w:rPr>
                      <w:sz w:val="21"/>
                    </w:rPr>
                    <w:t>VS-900生命体征监护仪</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4</w:t>
                  </w:r>
                </w:p>
              </w:tc>
              <w:tc>
                <w:tcPr>
                  <w:tcW w:type="dxa" w:w="901"/>
                  <w:vMerge w:val="restart"/>
                  <w:tcBorders>
                    <w:top w:val="none" w:color="000000" w:sz="4"/>
                    <w:left w:val="single" w:color="000000" w:sz="4"/>
                    <w:bottom w:val="single" w:color="000000" w:sz="4"/>
                    <w:right w:val="single" w:color="000000" w:sz="4"/>
                  </w:tcBorders>
                  <w:vAlign w:val="top"/>
                </w:tcPr>
                <w:p>
                  <w:pPr>
                    <w:jc w:val="left"/>
                  </w:pPr>
                  <w:r>
                    <w:rPr>
                      <w:sz w:val="21"/>
                    </w:rPr>
                    <w:t>业务框架</w:t>
                  </w: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w:t>
                  </w:r>
                  <w:r>
                    <w:rPr>
                      <w:sz w:val="21"/>
                    </w:rPr>
                    <w:t>B/S架构，实现县域、医联体、医共体、集团化等多用户下的机构注册管理</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5</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实现科室注册管理，同时实现同步接入机构相关科室（急诊科）、病区（抢救室）等，实现与</w:t>
                  </w:r>
                  <w:r>
                    <w:rPr>
                      <w:sz w:val="21"/>
                    </w:rPr>
                    <w:t>HIS的科室接口同步及业务协同管理</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6</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实现同步</w:t>
                  </w:r>
                  <w:r>
                    <w:rPr>
                      <w:sz w:val="21"/>
                    </w:rPr>
                    <w:t>HIS人员数据，同时实现手工新增管理平台人员，包括：人员基本信息、职称职务</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7</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实现定义用户角色，包括系统管理员、预检分诊护士、急诊医生、护士长等，根据业务特性分配相关菜单及业务权限。</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8</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实现菜单管理页，实现按实际业务需求进行菜单权限分配管理，实现菜单排序等基础设置</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9</w:t>
                  </w:r>
                </w:p>
              </w:tc>
              <w:tc>
                <w:tcPr>
                  <w:tcW w:type="dxa" w:w="901"/>
                  <w:vMerge/>
                  <w:tcBorders>
                    <w:top w:val="none" w:color="000000" w:sz="4"/>
                    <w:left w:val="single" w:color="000000" w:sz="4"/>
                    <w:bottom w:val="single" w:color="000000" w:sz="4"/>
                    <w:right w:val="single" w:color="000000" w:sz="4"/>
                  </w:tcBorders>
                </w:tcPr>
                <w:p/>
              </w:tc>
              <w:tc>
                <w:tcPr>
                  <w:tcW w:type="dxa" w:w="4063"/>
                  <w:tcBorders>
                    <w:top w:val="none" w:color="000000" w:sz="4"/>
                    <w:left w:val="single" w:color="000000" w:sz="4"/>
                    <w:bottom w:val="single" w:color="000000" w:sz="4"/>
                    <w:right w:val="single" w:color="000000" w:sz="4"/>
                  </w:tcBorders>
                  <w:vAlign w:val="top"/>
                </w:tcPr>
                <w:p>
                  <w:pPr>
                    <w:jc w:val="left"/>
                  </w:pPr>
                  <w:r>
                    <w:rPr>
                      <w:sz w:val="21"/>
                    </w:rPr>
                    <w:t>实现界面可视化的系统参数配置管理，方便运维、实施及管理人员根据实际业务需求进行参数配置调整</w:t>
                  </w:r>
                </w:p>
              </w:tc>
            </w:tr>
            <w:tr>
              <w:tc>
                <w:tcPr>
                  <w:tcW w:type="dxa" w:w="461"/>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901"/>
                  <w:tcBorders>
                    <w:top w:val="none" w:color="000000" w:sz="4"/>
                    <w:left w:val="single" w:color="000000" w:sz="4"/>
                    <w:bottom w:val="single" w:color="000000" w:sz="4"/>
                    <w:right w:val="single" w:color="000000" w:sz="4"/>
                  </w:tcBorders>
                  <w:vAlign w:val="top"/>
                </w:tcPr>
                <w:p>
                  <w:pPr>
                    <w:jc w:val="left"/>
                  </w:pPr>
                  <w:r>
                    <w:rPr>
                      <w:sz w:val="21"/>
                    </w:rPr>
                    <w:t>接口</w:t>
                  </w:r>
                </w:p>
              </w:tc>
              <w:tc>
                <w:tcPr>
                  <w:tcW w:type="dxa" w:w="4063"/>
                  <w:tcBorders>
                    <w:top w:val="none" w:color="000000" w:sz="4"/>
                    <w:left w:val="single" w:color="000000" w:sz="4"/>
                    <w:bottom w:val="single" w:color="000000" w:sz="4"/>
                    <w:right w:val="single" w:color="000000" w:sz="4"/>
                  </w:tcBorders>
                  <w:vAlign w:val="top"/>
                </w:tcPr>
                <w:p>
                  <w:pPr>
                    <w:jc w:val="left"/>
                  </w:pPr>
                  <w:r>
                    <w:rPr>
                      <w:sz w:val="21"/>
                    </w:rPr>
                    <w:t>完成</w:t>
                  </w:r>
                  <w:r>
                    <w:rPr>
                      <w:sz w:val="21"/>
                    </w:rPr>
                    <w:t>H</w:t>
                  </w:r>
                  <w:r>
                    <w:rPr>
                      <w:sz w:val="21"/>
                    </w:rPr>
                    <w:t>IS、PACS、LIS及血库等现有系统接入(包括市120急救系统、南海区危急重症和随访等系统对接，建立院前、院中及院后急救信息化体系），挂号、接诊信息回写等</w:t>
                  </w:r>
                </w:p>
              </w:tc>
            </w:tr>
          </w:tbl>
          <w:p/>
          <w:p/>
          <w:p/>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统一支付平台开发服务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建设目标</w:t>
            </w:r>
          </w:p>
          <w:p>
            <w:pPr>
              <w:ind w:firstLine="420"/>
              <w:jc w:val="both"/>
            </w:pPr>
            <w:r>
              <w:rPr>
                <w:sz w:val="21"/>
              </w:rPr>
              <w:t>统一支付平台是患者在医疗服务中实现各类支付的依托平台，通过与医院</w:t>
            </w:r>
            <w:r>
              <w:rPr>
                <w:sz w:val="21"/>
              </w:rPr>
              <w:t>HIS深度集成，从而打通第三方支付平台与医院业务对接。对内改造HIS系统的缴费环节，实现结算与支付分离，并对支付后相关业务流程做控制改造；对外通过统一封装第三支付接口，实现医院缴费的移动支付，同时提供支付对账管理、决策分析报表等。整个对接过程通过全程跟踪与交易日志管理，实现第三方移动支付的安全应用。有效缓减患者在医院的三长一短问题，实现患者各缴费环节的轻松付，快捷付，安全付。加快医院内患者的流转速度，提高医疗服务质量，业务流程更加智能化，账务报表更加清晰化。</w:t>
            </w:r>
          </w:p>
          <w:p>
            <w:pPr>
              <w:jc w:val="both"/>
            </w:pPr>
            <w:r>
              <w:rPr>
                <w:b/>
                <w:sz w:val="21"/>
              </w:rPr>
              <w:t>2.</w:t>
            </w:r>
            <w:r>
              <w:rPr>
                <w:b/>
                <w:sz w:val="21"/>
              </w:rPr>
              <w:t>总体技术要求</w:t>
            </w:r>
          </w:p>
          <w:p>
            <w:pPr>
              <w:ind w:firstLine="420"/>
              <w:jc w:val="both"/>
            </w:pPr>
            <w:r>
              <w:rPr>
                <w:sz w:val="21"/>
              </w:rPr>
              <w:t>2.1.</w:t>
            </w:r>
            <w:r>
              <w:rPr>
                <w:sz w:val="21"/>
              </w:rPr>
              <w:t>项目建设包含需求调研、软件设计、系统开发、测试、实施部署、培训和医院现有信息系统的软件调整改造，即一直到整个项目调试验收合格交付</w:t>
            </w:r>
            <w:r>
              <w:rPr>
                <w:sz w:val="21"/>
              </w:rPr>
              <w:t>采购人</w:t>
            </w:r>
            <w:r>
              <w:rPr>
                <w:sz w:val="21"/>
              </w:rPr>
              <w:t>使用，</w:t>
            </w:r>
            <w:r>
              <w:rPr>
                <w:sz w:val="21"/>
              </w:rPr>
              <w:t>采购人</w:t>
            </w:r>
            <w:r>
              <w:rPr>
                <w:sz w:val="21"/>
              </w:rPr>
              <w:t>不再</w:t>
            </w:r>
            <w:r>
              <w:rPr>
                <w:sz w:val="21"/>
              </w:rPr>
              <w:t>另行支付费用。</w:t>
            </w:r>
          </w:p>
          <w:p>
            <w:pPr>
              <w:ind w:firstLine="420"/>
              <w:jc w:val="both"/>
            </w:pPr>
            <w:r>
              <w:rPr>
                <w:sz w:val="21"/>
              </w:rPr>
              <w:t>2.2.</w:t>
            </w:r>
            <w:r>
              <w:rPr>
                <w:sz w:val="21"/>
              </w:rPr>
              <w:t>项目应基于医院现有的硬件、网络、软件系统平台和数据库环境，充分利用现有资源，不浪费现有设备。</w:t>
            </w:r>
          </w:p>
          <w:p>
            <w:pPr>
              <w:ind w:firstLine="420"/>
              <w:jc w:val="both"/>
            </w:pPr>
            <w:r>
              <w:rPr>
                <w:sz w:val="21"/>
              </w:rPr>
              <w:t>2.3.</w:t>
            </w:r>
            <w:r>
              <w:rPr>
                <w:sz w:val="21"/>
              </w:rPr>
              <w:t>投标产品采用业界公认的安全、高效的大型数据库。</w:t>
            </w:r>
          </w:p>
          <w:p>
            <w:pPr>
              <w:ind w:firstLine="420"/>
              <w:jc w:val="both"/>
            </w:pPr>
            <w:r>
              <w:rPr>
                <w:sz w:val="21"/>
              </w:rPr>
              <w:t>2.4.</w:t>
            </w:r>
            <w:r>
              <w:rPr>
                <w:sz w:val="21"/>
              </w:rPr>
              <w:t>数据库设计结构合理，运行效率高。</w:t>
            </w:r>
          </w:p>
          <w:p>
            <w:pPr>
              <w:ind w:firstLine="420"/>
              <w:jc w:val="both"/>
            </w:pPr>
            <w:r>
              <w:rPr>
                <w:sz w:val="21"/>
              </w:rPr>
              <w:t>2.5.</w:t>
            </w:r>
            <w:r>
              <w:rPr>
                <w:sz w:val="21"/>
              </w:rPr>
              <w:t>接口建设遵从所涉及的业务的国际标准、国家标准及规范各项技术规定，做好系统的标准化设计与管理工作。</w:t>
            </w:r>
          </w:p>
          <w:p>
            <w:pPr>
              <w:ind w:firstLine="420"/>
              <w:jc w:val="both"/>
            </w:pPr>
            <w:r>
              <w:rPr>
                <w:sz w:val="21"/>
              </w:rPr>
              <w:t>2.6.</w:t>
            </w:r>
            <w:r>
              <w:rPr>
                <w:sz w:val="21"/>
              </w:rPr>
              <w:t>要求向</w:t>
            </w:r>
            <w:r>
              <w:rPr>
                <w:sz w:val="21"/>
              </w:rPr>
              <w:t>采购人</w:t>
            </w:r>
            <w:r>
              <w:rPr>
                <w:sz w:val="21"/>
              </w:rPr>
              <w:t>开放本次项目涉及软件接口的源代码。</w:t>
            </w:r>
          </w:p>
          <w:p>
            <w:pPr>
              <w:ind w:firstLine="420"/>
              <w:jc w:val="both"/>
            </w:pPr>
            <w:r>
              <w:rPr>
                <w:sz w:val="21"/>
              </w:rPr>
              <w:t>2.7.</w:t>
            </w:r>
            <w:r>
              <w:rPr>
                <w:sz w:val="21"/>
              </w:rPr>
              <w:t>本次项目涉及的接口建设需以医院信息平台接口为标准，实现与院内</w:t>
            </w:r>
            <w:r>
              <w:rPr>
                <w:sz w:val="21"/>
              </w:rPr>
              <w:t>HIS系统进行对接集成，中标人不再向采购人收取接口费用，涉及到采购人院内HIS等对接第三方厂家收取的接口费用由中标人自主承担。</w:t>
            </w:r>
          </w:p>
          <w:p>
            <w:pPr>
              <w:jc w:val="both"/>
            </w:pPr>
            <w:r>
              <w:rPr>
                <w:b/>
                <w:sz w:val="21"/>
              </w:rPr>
              <w:t>3.</w:t>
            </w:r>
            <w:r>
              <w:rPr>
                <w:b/>
                <w:sz w:val="21"/>
              </w:rPr>
              <w:t>详细参数要求</w:t>
            </w:r>
          </w:p>
          <w:tbl>
            <w:tblPr>
              <w:tblInd w:type="dxa" w:w="210"/>
              <w:tblBorders>
                <w:top w:val="none" w:color="000000" w:sz="4"/>
                <w:left w:val="none" w:color="000000" w:sz="4"/>
                <w:bottom w:val="none" w:color="000000" w:sz="4"/>
                <w:right w:val="none" w:color="000000" w:sz="4"/>
                <w:insideH w:val="none"/>
                <w:insideV w:val="none"/>
              </w:tblBorders>
            </w:tblPr>
            <w:tblGrid>
              <w:gridCol w:w="461"/>
              <w:gridCol w:w="1300"/>
              <w:gridCol w:w="3633"/>
            </w:tblGrid>
            <w:tr>
              <w:tc>
                <w:tcPr>
                  <w:tcW w:type="dxa" w:w="461"/>
                  <w:tcBorders>
                    <w:top w:val="single" w:color="000000" w:sz="4"/>
                    <w:left w:val="single" w:color="000000" w:sz="4"/>
                    <w:bottom w:val="single" w:color="000000" w:sz="4"/>
                    <w:right w:val="single" w:color="000000" w:sz="4"/>
                  </w:tcBorders>
                  <w:shd w:fill="EEECE1"/>
                  <w:vAlign w:val="top"/>
                </w:tcPr>
                <w:p>
                  <w:pPr>
                    <w:jc w:val="center"/>
                  </w:pPr>
                  <w:r>
                    <w:rPr>
                      <w:b/>
                      <w:sz w:val="21"/>
                    </w:rPr>
                    <w:t>序号</w:t>
                  </w:r>
                </w:p>
              </w:tc>
              <w:tc>
                <w:tcPr>
                  <w:tcW w:type="dxa" w:w="1300"/>
                  <w:tcBorders>
                    <w:top w:val="single" w:color="000000" w:sz="4"/>
                    <w:left w:val="single" w:color="000000" w:sz="4"/>
                    <w:bottom w:val="single" w:color="000000" w:sz="4"/>
                    <w:right w:val="single" w:color="000000" w:sz="4"/>
                  </w:tcBorders>
                  <w:shd w:fill="EEECE1"/>
                  <w:vAlign w:val="top"/>
                </w:tcPr>
                <w:p>
                  <w:pPr>
                    <w:jc w:val="center"/>
                  </w:pPr>
                  <w:r>
                    <w:rPr>
                      <w:b/>
                      <w:sz w:val="21"/>
                    </w:rPr>
                    <w:t>功能要求</w:t>
                  </w:r>
                </w:p>
              </w:tc>
              <w:tc>
                <w:tcPr>
                  <w:tcW w:type="dxa" w:w="3633"/>
                  <w:tcBorders>
                    <w:top w:val="single" w:color="000000" w:sz="4"/>
                    <w:left w:val="single" w:color="000000" w:sz="4"/>
                    <w:bottom w:val="single" w:color="000000" w:sz="4"/>
                    <w:right w:val="single" w:color="000000" w:sz="4"/>
                  </w:tcBorders>
                  <w:shd w:fill="EEECE1"/>
                  <w:vAlign w:val="top"/>
                </w:tcPr>
                <w:p>
                  <w:pPr>
                    <w:jc w:val="center"/>
                  </w:pPr>
                  <w:r>
                    <w:rPr>
                      <w:b/>
                      <w:sz w:val="21"/>
                    </w:rPr>
                    <w:t>详细技术参数</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300"/>
                  <w:vMerge w:val="restart"/>
                  <w:tcBorders>
                    <w:top w:val="none" w:color="000000" w:sz="4"/>
                    <w:left w:val="single" w:color="000000" w:sz="4"/>
                    <w:bottom w:val="single" w:color="000000" w:sz="4"/>
                    <w:right w:val="single" w:color="000000" w:sz="4"/>
                  </w:tcBorders>
                  <w:vAlign w:val="top"/>
                </w:tcPr>
                <w:p>
                  <w:r>
                    <w:rPr>
                      <w:sz w:val="21"/>
                    </w:rPr>
                    <w:t>总体指标</w:t>
                  </w:r>
                </w:p>
              </w:tc>
              <w:tc>
                <w:tcPr>
                  <w:tcW w:type="dxa" w:w="3633"/>
                  <w:tcBorders>
                    <w:top w:val="none" w:color="000000" w:sz="4"/>
                    <w:left w:val="single" w:color="000000" w:sz="4"/>
                    <w:bottom w:val="single" w:color="000000" w:sz="4"/>
                    <w:right w:val="single" w:color="000000" w:sz="4"/>
                  </w:tcBorders>
                  <w:vAlign w:val="top"/>
                </w:tcPr>
                <w:p>
                  <w:r>
                    <w:rPr>
                      <w:sz w:val="21"/>
                    </w:rPr>
                    <w:t>采用集成服务、消息路由与统一支付平台及第三方软件进行数据交换，保证信息的准确性</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全面实现门诊窗口、门诊诊间、住院窗口的移动支付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全面实现医技管理，药房取药的未支付提醒和未支付后续流程控制</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全面提供</w:t>
                  </w:r>
                  <w:r>
                    <w:rPr>
                      <w:sz w:val="21"/>
                    </w:rPr>
                    <w:t>HIS系统、统一支付平台、第三方支付平台的无缝对接，投标人应提供实现的总体架构设计、业务流程设计方案。</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提供统一支付平台的支付结算、对账核查、事务监管、报表体系和甬道管理</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300"/>
                  <w:vMerge w:val="restart"/>
                  <w:tcBorders>
                    <w:top w:val="none" w:color="000000" w:sz="4"/>
                    <w:left w:val="single" w:color="000000" w:sz="4"/>
                    <w:bottom w:val="single" w:color="000000" w:sz="4"/>
                    <w:right w:val="single" w:color="000000" w:sz="4"/>
                  </w:tcBorders>
                  <w:vAlign w:val="top"/>
                </w:tcPr>
                <w:p>
                  <w:r>
                    <w:rPr>
                      <w:sz w:val="21"/>
                    </w:rPr>
                    <w:t>门诊窗口移动支付</w:t>
                  </w:r>
                </w:p>
              </w:tc>
              <w:tc>
                <w:tcPr>
                  <w:tcW w:type="dxa" w:w="3633"/>
                  <w:tcBorders>
                    <w:top w:val="none" w:color="000000" w:sz="4"/>
                    <w:left w:val="single" w:color="000000" w:sz="4"/>
                    <w:bottom w:val="single" w:color="000000" w:sz="4"/>
                    <w:right w:val="single" w:color="000000" w:sz="4"/>
                  </w:tcBorders>
                  <w:vAlign w:val="top"/>
                </w:tcPr>
                <w:p>
                  <w:r>
                    <w:rPr>
                      <w:sz w:val="21"/>
                    </w:rPr>
                    <w:t>实现门诊收费系统的费用结算与支付分离，实现先结算后支付服务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实现居民在收费窗口使用移动支付方式（支付宝、微信）进行挂号和诊疗费用的支付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实现通过扫码枪扫描第三方支付提供的条形码完成支付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实现移动支付完成后交易记录的保存功能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实现退费时已完成项目和保留项目的再支付功能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实现退费作废时移动支付费用的原路退回，及按支付账户退回</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300"/>
                  <w:vMerge w:val="restart"/>
                  <w:tcBorders>
                    <w:top w:val="none" w:color="000000" w:sz="4"/>
                    <w:left w:val="single" w:color="000000" w:sz="4"/>
                    <w:bottom w:val="single" w:color="000000" w:sz="4"/>
                    <w:right w:val="single" w:color="000000" w:sz="4"/>
                  </w:tcBorders>
                  <w:vAlign w:val="top"/>
                </w:tcPr>
                <w:p>
                  <w:r>
                    <w:rPr>
                      <w:sz w:val="21"/>
                    </w:rPr>
                    <w:t>住院收费</w:t>
                  </w:r>
                </w:p>
              </w:tc>
              <w:tc>
                <w:tcPr>
                  <w:tcW w:type="dxa" w:w="3633"/>
                  <w:tcBorders>
                    <w:top w:val="none" w:color="000000" w:sz="4"/>
                    <w:left w:val="single" w:color="000000" w:sz="4"/>
                    <w:bottom w:val="single" w:color="000000" w:sz="4"/>
                    <w:right w:val="single" w:color="000000" w:sz="4"/>
                  </w:tcBorders>
                  <w:vAlign w:val="top"/>
                </w:tcPr>
                <w:p>
                  <w:r>
                    <w:rPr>
                      <w:sz w:val="21"/>
                    </w:rPr>
                    <w:t>实现住院收费系统的费用结算与支付分离，实现先结算后支付服务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实现居民在收费窗口使用移动支付方式（支付宝、微信）进行住院预交款和住院费用的支付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实现通过扫码枪扫描第三方支付提供的条形码完成支付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实现移动支付完成后交易记录的保存功能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实现离院结账时住院预缴款多交金额以</w:t>
                  </w:r>
                  <w:r>
                    <w:rPr>
                      <w:sz w:val="21"/>
                    </w:rPr>
                    <w:t>原路</w:t>
                  </w:r>
                  <w:r>
                    <w:rPr>
                      <w:sz w:val="21"/>
                    </w:rPr>
                    <w:t>形式退还</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4</w:t>
                  </w:r>
                </w:p>
              </w:tc>
              <w:tc>
                <w:tcPr>
                  <w:tcW w:type="dxa" w:w="1300"/>
                  <w:vMerge w:val="restart"/>
                  <w:tcBorders>
                    <w:top w:val="none" w:color="000000" w:sz="4"/>
                    <w:left w:val="single" w:color="000000" w:sz="4"/>
                    <w:bottom w:val="single" w:color="000000" w:sz="4"/>
                    <w:right w:val="single" w:color="000000" w:sz="4"/>
                  </w:tcBorders>
                  <w:vAlign w:val="top"/>
                </w:tcPr>
                <w:p>
                  <w:r>
                    <w:rPr>
                      <w:sz w:val="21"/>
                    </w:rPr>
                    <w:t>医生诊间移动支付</w:t>
                  </w:r>
                </w:p>
              </w:tc>
              <w:tc>
                <w:tcPr>
                  <w:tcW w:type="dxa" w:w="3633"/>
                  <w:tcBorders>
                    <w:top w:val="none" w:color="000000" w:sz="4"/>
                    <w:left w:val="single" w:color="000000" w:sz="4"/>
                    <w:bottom w:val="single" w:color="000000" w:sz="4"/>
                    <w:right w:val="single" w:color="000000" w:sz="4"/>
                  </w:tcBorders>
                  <w:vAlign w:val="top"/>
                </w:tcPr>
                <w:p>
                  <w:r>
                    <w:rPr>
                      <w:sz w:val="21"/>
                    </w:rPr>
                    <w:t>实现诊间结算系统的费用结算与支付分离，实现先结算后支付服务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实现诊间结算费用二维码生成功能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实现诊间结算二维码打印功能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实现居民使用移动支付设备进行二维码扫描支付。支持第三方移动支付方式：支付宝、微信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实现移动支付完成后交易记录的保存功能</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300"/>
                  <w:vMerge w:val="restart"/>
                  <w:tcBorders>
                    <w:top w:val="none" w:color="000000" w:sz="4"/>
                    <w:left w:val="single" w:color="000000" w:sz="4"/>
                    <w:bottom w:val="single" w:color="000000" w:sz="4"/>
                    <w:right w:val="single" w:color="000000" w:sz="4"/>
                  </w:tcBorders>
                  <w:vAlign w:val="top"/>
                </w:tcPr>
                <w:p>
                  <w:r>
                    <w:rPr>
                      <w:sz w:val="21"/>
                    </w:rPr>
                    <w:t>自助机移动支付</w:t>
                  </w:r>
                </w:p>
              </w:tc>
              <w:tc>
                <w:tcPr>
                  <w:tcW w:type="dxa" w:w="3633"/>
                  <w:tcBorders>
                    <w:top w:val="none" w:color="000000" w:sz="4"/>
                    <w:left w:val="single" w:color="000000" w:sz="4"/>
                    <w:bottom w:val="single" w:color="000000" w:sz="4"/>
                    <w:right w:val="single" w:color="000000" w:sz="4"/>
                  </w:tcBorders>
                  <w:vAlign w:val="top"/>
                </w:tcPr>
                <w:p>
                  <w:r>
                    <w:rPr>
                      <w:sz w:val="21"/>
                    </w:rPr>
                    <w:t>实现</w:t>
                  </w:r>
                  <w:r>
                    <w:rPr>
                      <w:sz w:val="21"/>
                    </w:rPr>
                    <w:t>自助终端</w:t>
                  </w:r>
                  <w:r>
                    <w:rPr>
                      <w:sz w:val="21"/>
                    </w:rPr>
                    <w:t>挂号、门诊挂号、门诊收费、住院预交款、住院收费的费用结算与支付分离，实现先结算后支付服务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实现居民使用移动支付方式进行挂号、门诊收费支付、住院预交款支付、住院收费支付。目前已实现的移动支付方式：支付宝、微信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实现选择移动支付方式后自动生成支付二维码功能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实现居民通过移动支付设备扫描显示的二维码进行支付</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实现移动支付完成后交易记录的保存功能</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300"/>
                  <w:vMerge w:val="restart"/>
                  <w:tcBorders>
                    <w:top w:val="none" w:color="000000" w:sz="4"/>
                    <w:left w:val="single" w:color="000000" w:sz="4"/>
                    <w:bottom w:val="single" w:color="000000" w:sz="4"/>
                    <w:right w:val="single" w:color="000000" w:sz="4"/>
                  </w:tcBorders>
                  <w:vAlign w:val="top"/>
                </w:tcPr>
                <w:p>
                  <w:r>
                    <w:rPr>
                      <w:sz w:val="21"/>
                    </w:rPr>
                    <w:t>支付结算</w:t>
                  </w:r>
                </w:p>
              </w:tc>
              <w:tc>
                <w:tcPr>
                  <w:tcW w:type="dxa" w:w="3633"/>
                  <w:tcBorders>
                    <w:top w:val="none" w:color="000000" w:sz="4"/>
                    <w:left w:val="single" w:color="000000" w:sz="4"/>
                    <w:bottom w:val="single" w:color="000000" w:sz="4"/>
                    <w:right w:val="single" w:color="000000" w:sz="4"/>
                  </w:tcBorders>
                  <w:vAlign w:val="top"/>
                </w:tcPr>
                <w:p>
                  <w:r>
                    <w:rPr>
                      <w:sz w:val="21"/>
                    </w:rPr>
                    <w:t>提供第三方支付成功实时生成交易成功记录功能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实现第三方支付成功形成的单笔成交额实时入账医院对应的第三方账号</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提供第三方支付失败实时生成交易失败记录功能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提供第三方支付的原路退费处理情况记录功能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提供第三方支付的原路作废处理情况记录功能</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300"/>
                  <w:vMerge w:val="restart"/>
                  <w:tcBorders>
                    <w:top w:val="none" w:color="000000" w:sz="4"/>
                    <w:left w:val="single" w:color="000000" w:sz="4"/>
                    <w:bottom w:val="single" w:color="000000" w:sz="4"/>
                    <w:right w:val="single" w:color="000000" w:sz="4"/>
                  </w:tcBorders>
                  <w:vAlign w:val="top"/>
                </w:tcPr>
                <w:p>
                  <w:r>
                    <w:rPr>
                      <w:sz w:val="21"/>
                    </w:rPr>
                    <w:t>对账核查</w:t>
                  </w:r>
                </w:p>
              </w:tc>
              <w:tc>
                <w:tcPr>
                  <w:tcW w:type="dxa" w:w="3633"/>
                  <w:tcBorders>
                    <w:top w:val="none" w:color="000000" w:sz="4"/>
                    <w:left w:val="single" w:color="000000" w:sz="4"/>
                    <w:bottom w:val="single" w:color="000000" w:sz="4"/>
                    <w:right w:val="single" w:color="000000" w:sz="4"/>
                  </w:tcBorders>
                  <w:vAlign w:val="top"/>
                </w:tcPr>
                <w:p>
                  <w:r>
                    <w:rPr>
                      <w:sz w:val="21"/>
                    </w:rPr>
                    <w:t>提供医院端和各第三方支付交易的自动定时对账功能。自动对账时间可自定义配置</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实现医院对使用第三方支付平台完成的交易进行核查</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实现医院对核查结果为异常的账目进行自动持平对账处理</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8</w:t>
                  </w:r>
                </w:p>
              </w:tc>
              <w:tc>
                <w:tcPr>
                  <w:tcW w:type="dxa" w:w="1300"/>
                  <w:vMerge w:val="restart"/>
                  <w:tcBorders>
                    <w:top w:val="none" w:color="000000" w:sz="4"/>
                    <w:left w:val="single" w:color="000000" w:sz="4"/>
                    <w:bottom w:val="single" w:color="000000" w:sz="4"/>
                    <w:right w:val="single" w:color="000000" w:sz="4"/>
                  </w:tcBorders>
                  <w:vAlign w:val="top"/>
                </w:tcPr>
                <w:p>
                  <w:r>
                    <w:rPr>
                      <w:sz w:val="21"/>
                    </w:rPr>
                    <w:t>事务监管</w:t>
                  </w:r>
                </w:p>
              </w:tc>
              <w:tc>
                <w:tcPr>
                  <w:tcW w:type="dxa" w:w="3633"/>
                  <w:tcBorders>
                    <w:top w:val="none" w:color="000000" w:sz="4"/>
                    <w:left w:val="single" w:color="000000" w:sz="4"/>
                    <w:bottom w:val="single" w:color="000000" w:sz="4"/>
                    <w:right w:val="single" w:color="000000" w:sz="4"/>
                  </w:tcBorders>
                  <w:vAlign w:val="top"/>
                </w:tcPr>
                <w:p>
                  <w:r>
                    <w:rPr>
                      <w:sz w:val="21"/>
                    </w:rPr>
                    <w:t>提供第三方支付交易情况的实时监测功能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提供第三方支付交易记录的可追溯功能</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实现第三方支付交易根据患者实际退费作废需求进行撤销处理</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9</w:t>
                  </w:r>
                </w:p>
              </w:tc>
              <w:tc>
                <w:tcPr>
                  <w:tcW w:type="dxa" w:w="1300"/>
                  <w:vMerge w:val="restart"/>
                  <w:tcBorders>
                    <w:top w:val="none" w:color="000000" w:sz="4"/>
                    <w:left w:val="single" w:color="000000" w:sz="4"/>
                    <w:bottom w:val="single" w:color="000000" w:sz="4"/>
                    <w:right w:val="single" w:color="000000" w:sz="4"/>
                  </w:tcBorders>
                  <w:vAlign w:val="top"/>
                </w:tcPr>
                <w:p>
                  <w:r>
                    <w:rPr>
                      <w:sz w:val="21"/>
                    </w:rPr>
                    <w:t>报表体系</w:t>
                  </w:r>
                </w:p>
              </w:tc>
              <w:tc>
                <w:tcPr>
                  <w:tcW w:type="dxa" w:w="3633"/>
                  <w:tcBorders>
                    <w:top w:val="none" w:color="000000" w:sz="4"/>
                    <w:left w:val="single" w:color="000000" w:sz="4"/>
                    <w:bottom w:val="single" w:color="000000" w:sz="4"/>
                    <w:right w:val="single" w:color="000000" w:sz="4"/>
                  </w:tcBorders>
                  <w:vAlign w:val="top"/>
                </w:tcPr>
                <w:p>
                  <w:r>
                    <w:rPr>
                      <w:sz w:val="21"/>
                    </w:rPr>
                    <w:t>提供第三方支付达成的总体交易情况分析</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提供第三方支付达成的交易具体明细情况分析</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10</w:t>
                  </w:r>
                </w:p>
              </w:tc>
              <w:tc>
                <w:tcPr>
                  <w:tcW w:type="dxa" w:w="1300"/>
                  <w:vMerge w:val="restart"/>
                  <w:tcBorders>
                    <w:top w:val="none" w:color="000000" w:sz="4"/>
                    <w:left w:val="single" w:color="000000" w:sz="4"/>
                    <w:bottom w:val="single" w:color="000000" w:sz="4"/>
                    <w:right w:val="single" w:color="000000" w:sz="4"/>
                  </w:tcBorders>
                  <w:vAlign w:val="top"/>
                </w:tcPr>
                <w:p>
                  <w:r>
                    <w:rPr>
                      <w:sz w:val="21"/>
                    </w:rPr>
                    <w:t>甬道管理</w:t>
                  </w:r>
                </w:p>
              </w:tc>
              <w:tc>
                <w:tcPr>
                  <w:tcW w:type="dxa" w:w="3633"/>
                  <w:tcBorders>
                    <w:top w:val="none" w:color="000000" w:sz="4"/>
                    <w:left w:val="single" w:color="000000" w:sz="4"/>
                    <w:bottom w:val="single" w:color="000000" w:sz="4"/>
                    <w:right w:val="single" w:color="000000" w:sz="4"/>
                  </w:tcBorders>
                  <w:vAlign w:val="top"/>
                </w:tcPr>
                <w:p>
                  <w:r>
                    <w:rPr>
                      <w:sz w:val="21"/>
                    </w:rPr>
                    <w:t>提供与医院对接的标准化服务</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提供与第三方支付对接的标准化服务</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11</w:t>
                  </w:r>
                </w:p>
              </w:tc>
              <w:tc>
                <w:tcPr>
                  <w:tcW w:type="dxa" w:w="1300"/>
                  <w:vMerge w:val="restart"/>
                  <w:tcBorders>
                    <w:top w:val="none" w:color="000000" w:sz="4"/>
                    <w:left w:val="single" w:color="000000" w:sz="4"/>
                    <w:bottom w:val="single" w:color="000000" w:sz="4"/>
                    <w:right w:val="single" w:color="000000" w:sz="4"/>
                  </w:tcBorders>
                  <w:vAlign w:val="top"/>
                </w:tcPr>
                <w:p>
                  <w:r>
                    <w:rPr>
                      <w:sz w:val="21"/>
                    </w:rPr>
                    <w:t>医院</w:t>
                  </w:r>
                  <w:r>
                    <w:rPr>
                      <w:sz w:val="21"/>
                    </w:rPr>
                    <w:t>HIS系统配套改造:报表体系配套升级</w:t>
                  </w:r>
                </w:p>
              </w:tc>
              <w:tc>
                <w:tcPr>
                  <w:tcW w:type="dxa" w:w="3633"/>
                  <w:tcBorders>
                    <w:top w:val="none" w:color="000000" w:sz="4"/>
                    <w:left w:val="single" w:color="000000" w:sz="4"/>
                    <w:bottom w:val="single" w:color="000000" w:sz="4"/>
                    <w:right w:val="single" w:color="000000" w:sz="4"/>
                  </w:tcBorders>
                  <w:vAlign w:val="top"/>
                </w:tcPr>
                <w:p>
                  <w:r>
                    <w:rPr>
                      <w:sz w:val="21"/>
                    </w:rPr>
                    <w:t>提供各第三方支付（微信、支付宝）的每日门诊交易记录分析。交易情况分析包括收入、退费、作废。</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提供各第三方支付的每日门诊收入情况分析和结算未支付情况分析</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实现门诊各第三方支付的多场景支付统一分析。包括窗口缴费、诊间缴费、自助机缴费</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提供第三方支付（微信、支付宝）的每日住院交易记录分析。交易情况分析包括收入、退费</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提供各第三方支付的每日住院收入情况分析</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实现住院各第三方支付的多场景支付统一分析。包括窗口缴费和自助机缴费</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12</w:t>
                  </w:r>
                </w:p>
              </w:tc>
              <w:tc>
                <w:tcPr>
                  <w:tcW w:type="dxa" w:w="1300"/>
                  <w:vMerge w:val="restart"/>
                  <w:tcBorders>
                    <w:top w:val="none" w:color="000000" w:sz="4"/>
                    <w:left w:val="single" w:color="000000" w:sz="4"/>
                    <w:bottom w:val="single" w:color="000000" w:sz="4"/>
                    <w:right w:val="single" w:color="000000" w:sz="4"/>
                  </w:tcBorders>
                  <w:vAlign w:val="top"/>
                </w:tcPr>
                <w:p>
                  <w:r>
                    <w:rPr>
                      <w:sz w:val="21"/>
                    </w:rPr>
                    <w:t>业务流程改造</w:t>
                  </w:r>
                </w:p>
              </w:tc>
              <w:tc>
                <w:tcPr>
                  <w:tcW w:type="dxa" w:w="3633"/>
                  <w:tcBorders>
                    <w:top w:val="none" w:color="000000" w:sz="4"/>
                    <w:left w:val="single" w:color="000000" w:sz="4"/>
                    <w:bottom w:val="single" w:color="000000" w:sz="4"/>
                    <w:right w:val="single" w:color="000000" w:sz="4"/>
                  </w:tcBorders>
                  <w:vAlign w:val="top"/>
                </w:tcPr>
                <w:p>
                  <w:r>
                    <w:rPr>
                      <w:sz w:val="21"/>
                    </w:rPr>
                    <w:t>药房取药流程改造，实现取药环节通过刷卡自动识别做未支付提醒</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药房取药流程改造，提供未支付无法进行取药做流程控制</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检验流程改造，实现检验环节通过刷卡自动识别做未支付提醒</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检验流程改造，实现未支付无法进行检验工作做流程控制</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检查流程改造，实现检查环节通过刷卡自动识别做未支付提醒</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检查流程改造，支付未支付无法进行检查工作做流程控制</w:t>
                  </w:r>
                </w:p>
              </w:tc>
            </w:tr>
            <w:tr>
              <w:tc>
                <w:tcPr>
                  <w:tcW w:type="dxa" w:w="461"/>
                  <w:vMerge w:val="restart"/>
                  <w:tcBorders>
                    <w:top w:val="none" w:color="000000" w:sz="4"/>
                    <w:left w:val="single" w:color="000000" w:sz="4"/>
                    <w:bottom w:val="single" w:color="000000" w:sz="4"/>
                    <w:right w:val="single" w:color="000000" w:sz="4"/>
                  </w:tcBorders>
                  <w:vAlign w:val="top"/>
                </w:tcPr>
                <w:p>
                  <w:pPr>
                    <w:jc w:val="center"/>
                  </w:pPr>
                  <w:r>
                    <w:rPr>
                      <w:sz w:val="22"/>
                    </w:rPr>
                    <w:t>13</w:t>
                  </w:r>
                </w:p>
              </w:tc>
              <w:tc>
                <w:tcPr>
                  <w:tcW w:type="dxa" w:w="1300"/>
                  <w:vMerge w:val="restart"/>
                  <w:tcBorders>
                    <w:top w:val="none" w:color="000000" w:sz="4"/>
                    <w:left w:val="single" w:color="000000" w:sz="4"/>
                    <w:bottom w:val="single" w:color="000000" w:sz="4"/>
                    <w:right w:val="single" w:color="000000" w:sz="4"/>
                  </w:tcBorders>
                  <w:vAlign w:val="top"/>
                </w:tcPr>
                <w:p>
                  <w:r>
                    <w:rPr>
                      <w:sz w:val="21"/>
                    </w:rPr>
                    <w:t>第三方支付平台对接</w:t>
                  </w:r>
                  <w:r>
                    <w:rPr>
                      <w:sz w:val="21"/>
                    </w:rPr>
                    <w:t>:标准支付</w:t>
                  </w:r>
                </w:p>
              </w:tc>
              <w:tc>
                <w:tcPr>
                  <w:tcW w:type="dxa" w:w="3633"/>
                  <w:tcBorders>
                    <w:top w:val="none" w:color="000000" w:sz="4"/>
                    <w:left w:val="single" w:color="000000" w:sz="4"/>
                    <w:bottom w:val="single" w:color="000000" w:sz="4"/>
                    <w:right w:val="single" w:color="000000" w:sz="4"/>
                  </w:tcBorders>
                  <w:vAlign w:val="top"/>
                </w:tcPr>
                <w:p>
                  <w:r>
                    <w:rPr>
                      <w:sz w:val="21"/>
                    </w:rPr>
                    <w:t>统一支付平台提供标准支付交易服务规范第三方支付平台（支付宝、微信）的接入</w:t>
                  </w:r>
                </w:p>
              </w:tc>
            </w:tr>
            <w:tr>
              <w:tc>
                <w:tcPr>
                  <w:tcW w:type="dxa" w:w="461"/>
                  <w:vMerge/>
                  <w:tcBorders>
                    <w:top w:val="none" w:color="000000" w:sz="4"/>
                    <w:left w:val="single" w:color="000000" w:sz="4"/>
                    <w:bottom w:val="single" w:color="000000" w:sz="4"/>
                    <w:right w:val="single" w:color="000000" w:sz="4"/>
                  </w:tcBorders>
                </w:tcPr>
                <w:p/>
              </w:tc>
              <w:tc>
                <w:tcPr>
                  <w:tcW w:type="dxa" w:w="1300"/>
                  <w:vMerge/>
                  <w:tcBorders>
                    <w:top w:val="none" w:color="000000" w:sz="4"/>
                    <w:left w:val="single" w:color="000000" w:sz="4"/>
                    <w:bottom w:val="single" w:color="000000" w:sz="4"/>
                    <w:right w:val="single" w:color="000000" w:sz="4"/>
                  </w:tcBorders>
                </w:tcPr>
                <w:p/>
              </w:tc>
              <w:tc>
                <w:tcPr>
                  <w:tcW w:type="dxa" w:w="3633"/>
                  <w:tcBorders>
                    <w:top w:val="none" w:color="000000" w:sz="4"/>
                    <w:left w:val="single" w:color="000000" w:sz="4"/>
                    <w:bottom w:val="single" w:color="000000" w:sz="4"/>
                    <w:right w:val="single" w:color="000000" w:sz="4"/>
                  </w:tcBorders>
                  <w:vAlign w:val="top"/>
                </w:tcPr>
                <w:p>
                  <w:r>
                    <w:rPr>
                      <w:sz w:val="21"/>
                    </w:rPr>
                    <w:t>打通第三方支付平台与医院</w:t>
                  </w:r>
                  <w:r>
                    <w:rPr>
                      <w:sz w:val="21"/>
                    </w:rPr>
                    <w:t>HIS的数据流转</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采购包2（药事管理系统开发服务）：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合同签订后9个月内完成项目验收。</w:t>
            </w:r>
          </w:p>
        </w:tc>
      </w:tr>
      <w:tr>
        <w:tc>
          <w:tcPr>
            <w:tcW w:type="dxa" w:w="4153"/>
          </w:tcPr>
          <w:p>
            <w:r>
              <w:rPr/>
              <w:t>标的提供的地点</w:t>
            </w:r>
          </w:p>
        </w:tc>
        <w:tc>
          <w:tcPr>
            <w:tcW w:type="dxa" w:w="4153"/>
          </w:tcPr>
          <w:p>
            <w:pPr>
              <w:jc w:val="left"/>
            </w:pPr>
          </w:p>
          <w:p>
            <w:r>
              <w:rPr/>
              <w:t>采购人（用户）指定地点。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60%，系统试运行之日起15个工作日内，中标人书面提出支付申请函、拟支付金额等额的符合采购人财务管理要求的相应发票以及缴纳履约保证金证明材料，采购人确认后启动首期款支付流程，支付合同总金额的60%；</w:t>
            </w:r>
          </w:p>
          <w:p/>
          <w:p>
            <w:r>
              <w:rPr/>
              <w:t>2期：支付比例40%，项目试运行结束后，采购人组织验收，验收合格后15个工作日内，中标人书面提出支付申请函、拟支付金额等额的符合采购人财务管理要求的相应发票以及缴纳履约保证金证明材料，采购人确认后启动尾款支付流程，支付合同总金额的40%。 注：本项目合同每笔款项以人民币支票方式支付，中标人凭下列材料申请支付： （1）款项支付申请书。 （2）合同和中标（成交）通知书。 （3）验收报告（须加盖采购人公章，申请余款时提交）。 （4）中标人须向采购人提供依法纳税的发票。 （5）缴纳履约保证金证明材料。 付款要求： 1.中标人须向采购人提供依法纳税的发票。 2.由于采购人使用的是财政资金，采购人在前款约定的付款时间内向政府采购支付部门提出办理财政支付申请手续（不含政府财政支付部门审核的时间）即视为已经按期支付。因财政支付审批流程及办理手续而造成合同费用支付进度有所推延，导致采购人逾期付款的，采购人不承担逾期付款的责任。由于财政拨款特殊性，合同金额的支付时间以财政拨款支付日期为准。 3.收款方、出具发票方、合同乙方均必须与中标（成交）供应商名称一致。</w:t>
            </w:r>
          </w:p>
        </w:tc>
      </w:tr>
      <w:tr>
        <w:tc>
          <w:tcPr>
            <w:tcW w:type="dxa" w:w="4153"/>
          </w:tcPr>
          <w:p>
            <w:r>
              <w:rPr/>
              <w:t>验收要求</w:t>
            </w:r>
          </w:p>
        </w:tc>
        <w:tc>
          <w:tcPr>
            <w:tcW w:type="dxa" w:w="4153"/>
          </w:tcPr>
          <w:p>
            <w:pPr>
              <w:jc w:val="left"/>
            </w:pPr>
          </w:p>
          <w:p/>
          <w:p/>
          <w:p>
            <w:r>
              <w:rPr/>
              <w:t>1期：本项目的验收应符合中华人民共和国、广东省和采购人相关规定、行业技术规范标准，及相关验收管理办法的要求，同时应遵循下列标准： 1.本项目验收工作由项目验收小组来完成，具体成员和组织形式由采购人确定。项目验收要求如下：采购人将依照国家及行业有关信息化建设的相关规范，以采购人的招标文件、中标人编写的投标文件为验收标准和依据，组织有关单位对本项目进行验收。 2.验收组织：采购人组成验收小组，负责对项目进行全面验收。 3.验收过程：在软件系统开发、测试达到本项目规定的功能和技术要求，取得采购人同意后，中标人可以向采购人提出系统试运行申请。试运行结束后组织项目验收。 4.验收要求  （1）中标人应负责在项目验收时将系统的全部有关产品说明书、安装手册、技术文件、资料、验收报告等文档交付采购人。 （2）项目验收由采购人组织相关人员、中标人共同进行。 （3）项目验收：本项目成果符合验收标准，且系统在试运行期间稳定运行，试运行结束后，中标人应以书面形式向采购人提出项目验收申请,采购人应在收到该申请的10个工作日内组织验收。</w:t>
            </w:r>
          </w:p>
        </w:tc>
      </w:tr>
      <w:tr>
        <w:tc>
          <w:tcPr>
            <w:tcW w:type="dxa" w:w="4153"/>
          </w:tcPr>
          <w:p>
            <w:r>
              <w:rPr/>
              <w:t>履约保证金</w:t>
            </w:r>
          </w:p>
        </w:tc>
        <w:tc>
          <w:tcPr>
            <w:tcW w:type="dxa" w:w="4153"/>
          </w:tcPr>
          <w:p>
            <w:pPr>
              <w:jc w:val="left"/>
            </w:pPr>
          </w:p>
          <w:p/>
          <w:p/>
          <w:p/>
          <w:p>
            <w:r>
              <w:rPr/>
              <w:t>收取比例：5%,说明：1.中标人须在合同签订后15个工作日内向采购人提交缴纳履约保证金缴纳证明。 2.履约保证金可以采用银行转账、支票、汇票、本票或者银行保函等形式提交。履约保证金数额为合同总金额的5%。采用保函形式提交履约保证金的，保函的有效期应当覆盖项目实施全过程，当项目实施过程中保函剩余有效期不足60日时，中标人应当适当延长保函有效期或重新提交履约保证金。 3.履约保证金在项目验收合格后一年后，采购人按照合同约定原额无息退还，履约保证金以履约担保函形式提交的，担保责任终止。</w:t>
            </w:r>
          </w:p>
        </w:tc>
      </w:tr>
      <w:tr>
        <w:tc>
          <w:tcPr>
            <w:tcW w:type="dxa" w:w="4153"/>
          </w:tcPr>
          <w:p>
            <w:r>
              <w:rPr/>
              <w:t>其他</w:t>
            </w:r>
          </w:p>
        </w:tc>
        <w:tc>
          <w:tcPr>
            <w:tcW w:type="dxa" w:w="4153"/>
          </w:tcPr>
          <w:p>
            <w:pPr>
              <w:jc w:val="left"/>
            </w:pPr>
          </w:p>
          <w:p/>
          <w:p>
            <w:r>
              <w:rPr/>
              <w:t>其他:一、报价要求 1.本项目的报价和结算支付均以人民币为货币单位。 2.本项目实行总价包干。 3.投标总报价应包括设备的相关配件、配套设施、安装调试、与项目相关资料、人工费、人员培训费、验收费用、各种税费、运维和接口开发服务、售后服务费及合同实施过程中的应预见和不可预见费用等完成合同规定责任和义务、达到合同目的之一切费用。 4.投标人的投标总报价超过采购项目预算金额（最高限价）的将被视为无效投标。 5.投标人的投标报价应包括单价和总价，总价是对应于采购人本次采购的所有内容所计算的总价，为合同总价；其填报的明细单价则应是投标人对本采购项目所包含的具体的货物和服务进行详细列示的计算单价。 6.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二、服务要求 1.中标人须针对本项目建立一个完善和稳定的项目团队和管理机构，其中设项目经理 1 名，由具备丰富相关项目实施经验的人员承担，项目经理负责本项目的日常管理协调工作，要求具备相应的项目组织建设经验，沟通能力、需求分析理解能力强。合同履行期间中标人须配备业务需求分析、系统分析、信息安全设计等专业技术骨干及专业的信息安全人员、药学资格人员。合同履行期间稳定项目组成员人数不少于3名。合同履行期间，如项目组无法胜任项目建设工作要求，采购人有权要求中标人调换项目主要实施人员，中标人应无条件接受；中标人应具备健全的质量保证体系，满足质量保证体系标准等行业标准规范要求。 2.投标人应在投标书中提供本次项目实施的实施人员名单，以及整个软件实施工期的具体计划安排表。 三、包装和运输 1.所有产品/服务交付地点均在医院内，涉及的包装运输由中标人负责。 四、项目实施要求 1、实施周期：合同签订后9个月内完成项目验收。 2、项目人员：项目经理具有相关项目管理经验，具有PMP或PM证书；实施团队必须配备专业的信息安全人员、药学资格人员。 3、投标人应在投标文件中提供本次项目实施的实施人员名单，以及整个软件实施工期的具体计划安排表。 五、人员培训要求 1.中标人须提供相应的应用软件技术和系统操作、对系统维护人员进行系统维护等方面的培训。承担培训的讲师或辅导人员必须具有同类型项目实际工作经验和教学经验。 2.技术人员培训分两种，现场培训和集中培训。 3.培训对象包括系统管理员、管理人员、操作员。具有详细的培训计划。 4.培训内容包括： （1）在软件的安装调试、故障处理过程中，对系统使用人员进行实际的操作和故障处理培训； （2）在整套系统安装、调试完成后，对系统使用人员的操作培训，讲授说明系统的安装、保养和应该注意的事项，使系统使用人员能够尽快地熟悉软件的性能。 （3）中标人须提供培训方案，包括培训教师、培训内容、培训教材。 六、售后服务（包括但不限于运行维护、升级更新、备品备件、耗材、信息接口）： 1.项目验收合格后，中标人必须提供1年的免费软件维护服务。 2.免费软件维护服务期内均提供免费上门维护、升级服务，对故障即时响应，系统故障或问题的响应时间为工作日半小时内响应，非工作日2小时内响应，2小时以内到达现场，8小时以内解决问题；服务响应为7*24小时。项目实施阶段，系统故障或问题的响应时间为即时响应，服务响应为7*24小时。 七、其他要求 1.服务对照执行标准 （1）符合中华人民共和国国家和履约地相关安全质量标准、行业技术规范标准； （2）符合采购文件和响应承诺中各方共同认可的合理要求； 注：上述各类标准与法规必须是有关官方机构最新发布的现行标准版本。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（2）合同履行期内，采购人有权按本项目的服务要求对中标人进行不定期抽查检查，若对不合格的服务向中标人提出警告后，仍未得到有效解决时，采购人有权终止服务合同。 3.提出异议的时间和方法 （1）采购人有异议时，应 7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八、知识产权和保密要求 1.中标人必须保证，采购人在中华人民共和国境内使用投标货物、资料、技术、服务或其任何一部分时，享有不受限制的无偿使用权，如有第三方向采购人提出侵犯其专利权、商标权或其它知识产权的主张，该责任应由中标人承担。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九、违约责任 1.中标人未按要求履行合同义务时，须从违约之日起每日按合同总额的 5‰  比例向采购人支付违约金；逾期 30 个日历天以上时，采购人有权终止合同，由此造成采购人的经济损失由中标人承担。违约金不足以弥补损失的，中标人应按全额赔偿。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3‰ 累计。 3.其它违约责任按《中华人民共和国民法典》处理。 十、其他说明：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行业应用软件开发服务</w:t>
            </w:r>
          </w:p>
        </w:tc>
        <w:tc>
          <w:tcPr>
            <w:tcW w:type="dxa" w:w="1923"/>
          </w:tcPr>
          <w:p>
            <w:r>
              <w:rPr/>
              <w:t>药事管理系统开发服务</w:t>
            </w:r>
          </w:p>
        </w:tc>
        <w:tc>
          <w:tcPr>
            <w:tcW w:type="dxa" w:w="385"/>
          </w:tcPr>
          <w:p>
            <w:r>
              <w:rPr/>
              <w:t>项</w:t>
            </w:r>
          </w:p>
        </w:tc>
        <w:tc>
          <w:tcPr>
            <w:tcW w:type="dxa" w:w="769"/>
          </w:tcPr>
          <w:p>
            <w:pPr>
              <w:jc w:val="right"/>
            </w:pPr>
            <w:r>
              <w:rPr/>
              <w:t>1.0000</w:t>
            </w:r>
          </w:p>
        </w:tc>
        <w:tc>
          <w:tcPr>
            <w:tcW w:type="dxa" w:w="769"/>
          </w:tcPr>
          <w:p>
            <w:pPr>
              <w:jc w:val="right"/>
            </w:pPr>
            <w:r>
              <w:rPr/>
              <w:t>350,000.00</w:t>
            </w:r>
          </w:p>
        </w:tc>
        <w:tc>
          <w:tcPr>
            <w:tcW w:type="dxa" w:w="769"/>
          </w:tcPr>
          <w:p>
            <w:pPr>
              <w:jc w:val="right"/>
            </w:pPr>
            <w:r>
              <w:rPr/>
              <w:t>350,000.00</w:t>
            </w:r>
          </w:p>
        </w:tc>
        <w:tc>
          <w:tcPr>
            <w:tcW w:type="dxa" w:w="769"/>
          </w:tcPr>
          <w:p>
            <w:r>
              <w:rPr/>
              <w:t>软件和信息技术服务业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药事管理系统开发服务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1</w:t>
            </w:r>
            <w:r>
              <w:rPr>
                <w:b/>
                <w:sz w:val="21"/>
              </w:rPr>
              <w:t>.</w:t>
            </w:r>
            <w:r>
              <w:rPr>
                <w:b/>
                <w:sz w:val="21"/>
              </w:rPr>
              <w:t>技术需求</w:t>
            </w:r>
          </w:p>
          <w:p>
            <w:pPr>
              <w:ind w:firstLine="422"/>
            </w:pPr>
            <w:r>
              <w:rPr>
                <w:b/>
                <w:sz w:val="21"/>
              </w:rPr>
              <w:t>1.1</w:t>
            </w:r>
            <w:r>
              <w:rPr>
                <w:b/>
                <w:sz w:val="21"/>
              </w:rPr>
              <w:t>.</w:t>
            </w:r>
            <w:r>
              <w:rPr>
                <w:b/>
                <w:sz w:val="21"/>
              </w:rPr>
              <w:t>建设目标</w:t>
            </w:r>
          </w:p>
          <w:p>
            <w:pPr>
              <w:ind w:firstLine="420"/>
            </w:pPr>
            <w:r>
              <w:rPr>
                <w:sz w:val="21"/>
              </w:rPr>
              <w:t>合理用药系统基于药品说明书，建立药学知识库，辅助医生利用信息化和智能化手段，开展处方和医嘱的监测，系统支持主动预警能力，对不合理的处方（医嘱）进行拦截，拦截需根据风险程度分等级，等级规则有默认模式和自定义制定，提示信息给医生，辅助医生减少不合理处方出现。</w:t>
            </w:r>
          </w:p>
          <w:p>
            <w:pPr>
              <w:ind w:firstLine="420"/>
            </w:pPr>
            <w:r>
              <w:rPr>
                <w:sz w:val="21"/>
              </w:rPr>
              <w:t>合理用药系统与医院的</w:t>
            </w:r>
            <w:r>
              <w:rPr>
                <w:sz w:val="21"/>
              </w:rPr>
              <w:t>HIS（医生工作站）、LIS（实验室信息系统）、药房系统等连接起来，从用药安全的各个环节进行全流程的控制，实现用药安全跟踪、审核等功能。合理用药系统具体高可用性，高吞吐量，对于大数据，具有快速处理能力，从用药安全的各个环节进行全流程的控制，实现用药安全跟踪、审查等功能，作为开展处方前置审核应用的基础。</w:t>
            </w:r>
          </w:p>
          <w:p>
            <w:pPr>
              <w:ind w:firstLine="422"/>
            </w:pPr>
            <w:r>
              <w:rPr>
                <w:b/>
                <w:sz w:val="21"/>
              </w:rPr>
              <w:t>1.2</w:t>
            </w:r>
            <w:r>
              <w:rPr>
                <w:b/>
                <w:sz w:val="21"/>
              </w:rPr>
              <w:t>.</w:t>
            </w:r>
            <w:r>
              <w:rPr>
                <w:b/>
                <w:sz w:val="21"/>
              </w:rPr>
              <w:t>建设原则</w:t>
            </w:r>
          </w:p>
          <w:p>
            <w:pPr>
              <w:ind w:firstLine="420"/>
            </w:pPr>
            <w:r>
              <w:rPr>
                <w:sz w:val="21"/>
              </w:rPr>
              <w:t>1.2.1</w:t>
            </w:r>
            <w:r>
              <w:rPr>
                <w:sz w:val="21"/>
              </w:rPr>
              <w:t>.</w:t>
            </w:r>
            <w:r>
              <w:rPr>
                <w:sz w:val="21"/>
              </w:rPr>
              <w:t>优越性原则</w:t>
            </w:r>
          </w:p>
          <w:p>
            <w:pPr>
              <w:ind w:firstLine="420"/>
            </w:pPr>
            <w:r>
              <w:rPr>
                <w:sz w:val="21"/>
              </w:rPr>
              <w:t>系统设计须符合标准化药学服务规范。</w:t>
            </w:r>
          </w:p>
          <w:p>
            <w:pPr>
              <w:ind w:firstLine="420"/>
            </w:pPr>
            <w:r>
              <w:rPr>
                <w:sz w:val="21"/>
              </w:rPr>
              <w:t>1.2.2</w:t>
            </w:r>
            <w:r>
              <w:rPr>
                <w:sz w:val="21"/>
              </w:rPr>
              <w:t>.</w:t>
            </w:r>
            <w:r>
              <w:rPr>
                <w:sz w:val="21"/>
              </w:rPr>
              <w:t>实用性原则</w:t>
            </w:r>
          </w:p>
          <w:p>
            <w:pPr>
              <w:ind w:firstLine="420"/>
            </w:pPr>
            <w:r>
              <w:rPr>
                <w:sz w:val="21"/>
              </w:rPr>
              <w:t>系统须采用的技术路线和主要技术，是目前主流技术，符合现行合理用药服务体系的管理模式和运行程序，能够满足药师对未来药学信息化长期发展的要求。</w:t>
            </w:r>
          </w:p>
          <w:p>
            <w:pPr>
              <w:ind w:firstLine="420"/>
            </w:pPr>
            <w:r>
              <w:rPr>
                <w:sz w:val="21"/>
              </w:rPr>
              <w:t>1.2.3</w:t>
            </w:r>
            <w:r>
              <w:rPr>
                <w:sz w:val="21"/>
              </w:rPr>
              <w:t>.</w:t>
            </w:r>
            <w:r>
              <w:rPr>
                <w:sz w:val="21"/>
              </w:rPr>
              <w:t>标准化原则</w:t>
            </w:r>
          </w:p>
          <w:p>
            <w:pPr>
              <w:ind w:firstLine="420"/>
            </w:pPr>
            <w:r>
              <w:rPr>
                <w:sz w:val="21"/>
              </w:rPr>
              <w:t>通过标准的</w:t>
            </w:r>
            <w:r>
              <w:rPr>
                <w:sz w:val="21"/>
              </w:rPr>
              <w:t>Webservice、Dll接口，直接和HIS等系统连接，实现各种功能。</w:t>
            </w:r>
          </w:p>
          <w:p>
            <w:pPr>
              <w:ind w:firstLine="420"/>
            </w:pPr>
            <w:r>
              <w:rPr>
                <w:sz w:val="21"/>
              </w:rPr>
              <w:t>1.2.4</w:t>
            </w:r>
            <w:r>
              <w:rPr>
                <w:sz w:val="21"/>
              </w:rPr>
              <w:t>.</w:t>
            </w:r>
            <w:r>
              <w:rPr>
                <w:sz w:val="21"/>
              </w:rPr>
              <w:t>可扩展性和实用性</w:t>
            </w:r>
          </w:p>
          <w:p>
            <w:pPr>
              <w:ind w:firstLine="420"/>
            </w:pPr>
            <w:r>
              <w:rPr>
                <w:sz w:val="21"/>
              </w:rPr>
              <w:t>本项目须采用开放式的系统软件平台、模块化的应用软件结构，确保系统具有在系统产品的系列、容量与处理能力等方面的扩充与换代的可能，并可与其他业务系统进行无缝互连。</w:t>
            </w:r>
          </w:p>
          <w:p>
            <w:pPr>
              <w:ind w:firstLine="420"/>
            </w:pPr>
            <w:r>
              <w:rPr>
                <w:sz w:val="21"/>
              </w:rPr>
              <w:t>1.2.5</w:t>
            </w:r>
            <w:r>
              <w:rPr>
                <w:sz w:val="21"/>
              </w:rPr>
              <w:t>.</w:t>
            </w:r>
            <w:r>
              <w:rPr>
                <w:sz w:val="21"/>
              </w:rPr>
              <w:t>安全与可靠原则</w:t>
            </w:r>
          </w:p>
          <w:p>
            <w:pPr>
              <w:ind w:firstLine="420"/>
            </w:pPr>
            <w:r>
              <w:rPr>
                <w:sz w:val="21"/>
              </w:rPr>
              <w:t>本项目</w:t>
            </w:r>
            <w:r>
              <w:rPr>
                <w:sz w:val="21"/>
              </w:rPr>
              <w:t>7×24 小时连续安全运行，性能稳定，易于维护。有完善的权限管理机制，能够根据业务需要，灵活设定每项功能的操作权限，将权限分配给不同的角色和用户。</w:t>
            </w:r>
          </w:p>
          <w:p>
            <w:pPr>
              <w:ind w:firstLine="422"/>
            </w:pPr>
            <w:r>
              <w:rPr>
                <w:b/>
                <w:sz w:val="21"/>
              </w:rPr>
              <w:t>1.3</w:t>
            </w:r>
            <w:r>
              <w:rPr>
                <w:b/>
                <w:sz w:val="21"/>
              </w:rPr>
              <w:t>.</w:t>
            </w:r>
            <w:r>
              <w:rPr>
                <w:b/>
                <w:sz w:val="21"/>
              </w:rPr>
              <w:t>总体要求</w:t>
            </w:r>
          </w:p>
          <w:p>
            <w:pPr>
              <w:ind w:firstLine="420"/>
            </w:pPr>
            <w:r>
              <w:rPr>
                <w:sz w:val="21"/>
              </w:rPr>
              <w:t>1.</w:t>
            </w:r>
            <w:r>
              <w:rPr>
                <w:sz w:val="21"/>
              </w:rPr>
              <w:t>3.1</w:t>
            </w:r>
            <w:r>
              <w:rPr>
                <w:sz w:val="21"/>
              </w:rPr>
              <w:t>.</w:t>
            </w:r>
            <w:r>
              <w:rPr>
                <w:sz w:val="21"/>
              </w:rPr>
              <w:t>系统具有多层次、开放式药学知识库，底层药学知识库内容丰富，覆盖医院现行用药品种，具有药品说明书和开放自定义等功能内涵。</w:t>
            </w:r>
          </w:p>
          <w:p>
            <w:pPr>
              <w:ind w:firstLine="420"/>
            </w:pPr>
            <w:r>
              <w:rPr>
                <w:sz w:val="21"/>
              </w:rPr>
              <w:t>1.3.</w:t>
            </w:r>
            <w:r>
              <w:rPr>
                <w:sz w:val="21"/>
              </w:rPr>
              <w:t>2</w:t>
            </w:r>
            <w:r>
              <w:rPr>
                <w:sz w:val="21"/>
              </w:rPr>
              <w:t>.</w:t>
            </w:r>
            <w:r>
              <w:rPr>
                <w:sz w:val="21"/>
              </w:rPr>
              <w:t>系统具有智能化审核引擎，实现审方规则的精细化配置和审核内容的分类匹配，且具有高性能并发处理机制，医生站弹框响应时间不超过</w:t>
            </w:r>
            <w:r>
              <w:rPr>
                <w:sz w:val="21"/>
              </w:rPr>
              <w:t>1秒。</w:t>
            </w:r>
          </w:p>
          <w:p>
            <w:pPr>
              <w:ind w:firstLine="420"/>
            </w:pPr>
            <w:r>
              <w:rPr>
                <w:sz w:val="21"/>
              </w:rPr>
              <w:t>1.</w:t>
            </w:r>
            <w:r>
              <w:rPr>
                <w:sz w:val="21"/>
              </w:rPr>
              <w:t>3.</w:t>
            </w:r>
            <w:r>
              <w:rPr>
                <w:sz w:val="21"/>
              </w:rPr>
              <w:t>3</w:t>
            </w:r>
            <w:r>
              <w:rPr>
                <w:sz w:val="21"/>
              </w:rPr>
              <w:t>.</w:t>
            </w:r>
            <w:r>
              <w:rPr>
                <w:sz w:val="21"/>
              </w:rPr>
              <w:t>系统采用一体化设计方案，除本次所需的合理用药</w:t>
            </w:r>
            <w:r>
              <w:rPr>
                <w:sz w:val="21"/>
              </w:rPr>
              <w:t>、处方前置审核</w:t>
            </w:r>
            <w:r>
              <w:rPr>
                <w:sz w:val="21"/>
              </w:rPr>
              <w:t>应用外，还具有处方点评、抗菌药物管理、移动药师查房、临床药学监护、药学门诊等可扩展功能，为</w:t>
            </w:r>
            <w:r>
              <w:rPr>
                <w:sz w:val="21"/>
              </w:rPr>
              <w:t>采购人</w:t>
            </w:r>
            <w:r>
              <w:rPr>
                <w:sz w:val="21"/>
              </w:rPr>
              <w:t>未来药学服务的发展提供支持。</w:t>
            </w:r>
          </w:p>
          <w:p>
            <w:pPr>
              <w:ind w:firstLine="422"/>
            </w:pPr>
            <w:r>
              <w:rPr>
                <w:b/>
                <w:sz w:val="21"/>
              </w:rPr>
              <w:t>1.4</w:t>
            </w:r>
            <w:r>
              <w:rPr>
                <w:b/>
                <w:sz w:val="21"/>
              </w:rPr>
              <w:t>.</w:t>
            </w:r>
            <w:r>
              <w:rPr>
                <w:b/>
                <w:sz w:val="21"/>
              </w:rPr>
              <w:t>详细技术参数</w:t>
            </w:r>
          </w:p>
          <w:p>
            <w:pPr>
              <w:ind w:firstLine="420"/>
            </w:pPr>
            <w:r>
              <w:rPr>
                <w:sz w:val="21"/>
              </w:rPr>
              <w:t>1.4.1</w:t>
            </w:r>
            <w:r>
              <w:rPr>
                <w:sz w:val="21"/>
              </w:rPr>
              <w:t>.</w:t>
            </w:r>
            <w:r>
              <w:rPr>
                <w:sz w:val="21"/>
              </w:rPr>
              <w:t>系统审查</w:t>
            </w:r>
          </w:p>
          <w:p>
            <w:pPr>
              <w:ind w:firstLine="420"/>
            </w:pPr>
            <w:r>
              <w:rPr>
                <w:sz w:val="21"/>
              </w:rPr>
              <w:t>(1)剂量审查：结合年龄、给药途径等信息审查处方（医嘱）中药品剂量、给药频率是否在药品厂家说明书推荐范围内。</w:t>
            </w:r>
          </w:p>
          <w:p>
            <w:pPr>
              <w:ind w:firstLine="420"/>
            </w:pPr>
            <w:r>
              <w:rPr>
                <w:sz w:val="21"/>
              </w:rPr>
              <w:t>1）</w:t>
            </w:r>
            <w:r>
              <w:rPr>
                <w:sz w:val="21"/>
              </w:rPr>
              <w:t>审查每次剂量和每日剂量的最大最小推荐量。</w:t>
            </w:r>
          </w:p>
          <w:p>
            <w:pPr>
              <w:ind w:firstLine="420"/>
            </w:pPr>
            <w:r>
              <w:rPr>
                <w:sz w:val="21"/>
              </w:rPr>
              <w:t>2）</w:t>
            </w:r>
            <w:r>
              <w:rPr>
                <w:sz w:val="21"/>
              </w:rPr>
              <w:t>审查处方（医嘱）中药品的每次和每日给药剂量是否超出规定极量。</w:t>
            </w:r>
          </w:p>
          <w:p>
            <w:pPr>
              <w:ind w:firstLine="420"/>
            </w:pPr>
            <w:r>
              <w:rPr>
                <w:sz w:val="21"/>
              </w:rPr>
              <w:t>3）</w:t>
            </w:r>
            <w:r>
              <w:rPr>
                <w:sz w:val="21"/>
              </w:rPr>
              <w:t>审查处方（医嘱）中药品的给药频率是否超出规定频率。</w:t>
            </w:r>
          </w:p>
          <w:p>
            <w:pPr>
              <w:ind w:firstLine="420"/>
            </w:pPr>
            <w:r>
              <w:rPr>
                <w:sz w:val="21"/>
              </w:rPr>
              <w:t>4）</w:t>
            </w:r>
            <w:r>
              <w:rPr>
                <w:sz w:val="21"/>
              </w:rPr>
              <w:t>审查肝肾功能不全患者的给药剂量是否符合规定。</w:t>
            </w:r>
          </w:p>
          <w:p>
            <w:pPr>
              <w:ind w:firstLine="420"/>
            </w:pPr>
            <w:r>
              <w:rPr>
                <w:sz w:val="21"/>
              </w:rPr>
              <w:t>(2)药品总剂量审查：审查处方/医嘱中药品的疗程总剂量、给药持续时间是否在药品厂家说明书规定范围内。</w:t>
            </w:r>
          </w:p>
          <w:p>
            <w:pPr>
              <w:ind w:firstLine="420"/>
            </w:pPr>
            <w:r>
              <w:rPr>
                <w:sz w:val="21"/>
              </w:rPr>
              <w:t>(3)▲根据国家有关处方管理规定对门、急诊处方药品超多日用量进行审查提示，门诊7天，急诊3天用量控制，慢性病患者额外控制使用天数。</w:t>
            </w:r>
          </w:p>
          <w:p>
            <w:pPr>
              <w:ind w:firstLine="420"/>
            </w:pPr>
            <w:r>
              <w:rPr>
                <w:sz w:val="21"/>
              </w:rPr>
              <w:t>(4)根据国家有关处方管理规定对处方中麻醉药品和精神类药品超多日用量进行审查提示，支持当前处方和历史处方多处方审查。</w:t>
            </w:r>
          </w:p>
          <w:p>
            <w:pPr>
              <w:ind w:firstLine="420"/>
            </w:pPr>
            <w:r>
              <w:rPr>
                <w:sz w:val="21"/>
              </w:rPr>
              <w:t>(5)可以对住院患者药品累积使用量进行审查提示。</w:t>
            </w:r>
          </w:p>
          <w:p>
            <w:pPr>
              <w:ind w:firstLine="420"/>
            </w:pPr>
            <w:r>
              <w:rPr>
                <w:sz w:val="21"/>
              </w:rPr>
              <w:t>(6)▲给药途径审查：根据药品说明书内容，对处方/医嘱中的药品选择的给药途径进行分析，对于存在给药途径选择问题进行提示。</w:t>
            </w:r>
          </w:p>
          <w:p>
            <w:pPr>
              <w:ind w:firstLine="420"/>
            </w:pPr>
            <w:r>
              <w:rPr>
                <w:sz w:val="21"/>
              </w:rPr>
              <w:t>(7)▲药物相互作用审查：对患者同时使用的处方/医嘱中的药品两两之间或是药品所含成份之间存在的相互作用进行审查，对于存在的问题进行提示。</w:t>
            </w:r>
          </w:p>
          <w:p>
            <w:pPr>
              <w:ind w:firstLine="420"/>
            </w:pPr>
            <w:r>
              <w:rPr>
                <w:sz w:val="21"/>
              </w:rPr>
              <w:t>(8)▲注射药物配伍审查：对将在同一容器中混合的注射药品进行配伍审查，对混合后会导致药液浑浊、变色、稳定性变化等配伍问题进行提示，提示内容包括详细信息及参考文献。</w:t>
            </w:r>
          </w:p>
          <w:p>
            <w:pPr>
              <w:ind w:firstLine="420"/>
            </w:pPr>
            <w:r>
              <w:rPr>
                <w:sz w:val="21"/>
              </w:rPr>
              <w:t>(9)▲配伍浓度审查：审查同组注射药品配伍后的药品浓度</w:t>
            </w:r>
            <w:r>
              <w:rPr>
                <w:sz w:val="21"/>
              </w:rPr>
              <w:t>是否在规定浓度范围内，同时提供相关详细信息，对于存在的问题进行提示。</w:t>
            </w:r>
          </w:p>
          <w:p>
            <w:pPr>
              <w:ind w:firstLine="420"/>
            </w:pPr>
            <w:r>
              <w:rPr>
                <w:sz w:val="21"/>
              </w:rPr>
              <w:t>(10)年龄与性别用药审查：根据药品说明书内容，结合患者的“年龄”、“性别”及“年龄+性别”信息进行分析，对于存在问题进行提示。</w:t>
            </w:r>
          </w:p>
          <w:p>
            <w:pPr>
              <w:ind w:firstLine="420"/>
            </w:pPr>
            <w:r>
              <w:rPr>
                <w:sz w:val="21"/>
              </w:rPr>
              <w:t>(11)禁忌症审查：结合患者诊断和病生状态信息，审查处方（医嘱）中是否存在该患者禁用的药品包括中药。</w:t>
            </w:r>
          </w:p>
          <w:p>
            <w:pPr>
              <w:ind w:firstLine="420"/>
            </w:pPr>
            <w:r>
              <w:rPr>
                <w:sz w:val="21"/>
              </w:rPr>
              <w:t>(12)▲妊娠期妇女用药审查：根据药品说明书内容，结合患者生理状态进行分析，当患者处于妊娠期时，对处方中的药品进行妊娠期用药审查，对于存在的问题进行提示。</w:t>
            </w:r>
          </w:p>
          <w:p>
            <w:pPr>
              <w:ind w:firstLine="420"/>
            </w:pPr>
            <w:r>
              <w:rPr>
                <w:sz w:val="21"/>
              </w:rPr>
              <w:t>(13)▲哺乳期妇女用药审查：根据药品说明书内容，结合患者生理状态进行分析，当患者处于哺乳期时，对处方中的药品进行哺乳期用药审查，对于存在的问题进行提示。</w:t>
            </w:r>
          </w:p>
          <w:p>
            <w:pPr>
              <w:ind w:firstLine="420"/>
            </w:pPr>
            <w:r>
              <w:rPr>
                <w:sz w:val="21"/>
              </w:rPr>
              <w:t>(14)肝功能不全患者的用药审查：根据药品说明书内容，结合患者肝功能状态进行分析，当患者肝功能不全时，对处方中的药品进行肝功能不全用药审查，对于存在的问题进行提示。</w:t>
            </w:r>
          </w:p>
          <w:p>
            <w:pPr>
              <w:ind w:firstLine="420"/>
            </w:pPr>
            <w:r>
              <w:rPr>
                <w:sz w:val="21"/>
              </w:rPr>
              <w:t>(15)▲肾功能不全患者的用药审查：根据药品说明书内容，结合患者肾功能状态进行分析，当患者肾功能不全时，对处方中的药品进行肾功能不全用药审查，对于存在的问题进行提示。</w:t>
            </w:r>
          </w:p>
          <w:p>
            <w:pPr>
              <w:ind w:firstLine="420"/>
            </w:pPr>
            <w:r>
              <w:rPr>
                <w:sz w:val="21"/>
              </w:rPr>
              <w:t>(16)▲儿童用药审查：根据患者年龄和病生状态判断审查处方（医嘱）中是否存在儿童患者禁用或慎用的药品，对于存在的问题进行提示。</w:t>
            </w:r>
          </w:p>
          <w:p>
            <w:pPr>
              <w:ind w:firstLine="420"/>
            </w:pPr>
            <w:r>
              <w:rPr>
                <w:sz w:val="21"/>
              </w:rPr>
              <w:t>(17)成人用药审查：根据患者年龄判断并审查处方（医嘱）中是否存在成人患者禁用或慎用的药品，对于存在的问题进行提示。</w:t>
            </w:r>
          </w:p>
          <w:p>
            <w:pPr>
              <w:ind w:firstLine="420"/>
            </w:pPr>
            <w:r>
              <w:rPr>
                <w:sz w:val="21"/>
              </w:rPr>
              <w:t>(18)老年人用药审查：根据患者年龄和病生状态判断审查处方（医嘱）中是否存在老年人患者禁用或慎用的药品，对于存在的问题进行提示。</w:t>
            </w:r>
          </w:p>
          <w:p>
            <w:pPr>
              <w:ind w:firstLine="420"/>
            </w:pPr>
            <w:r>
              <w:rPr>
                <w:sz w:val="21"/>
              </w:rPr>
              <w:t>(19)性别用药审查：审查处方（医嘱）药物是否存在不适用于当前患者的性别的药品。</w:t>
            </w:r>
          </w:p>
          <w:p>
            <w:pPr>
              <w:ind w:firstLine="420"/>
            </w:pPr>
            <w:r>
              <w:rPr>
                <w:sz w:val="21"/>
              </w:rPr>
              <w:t>(20)对同种、同类、同成份的药品进行审查：对患者同时使用的药品进行重复用药问题审查。包括是否使用了同种药、同类药或所含成份相同的药品。</w:t>
            </w:r>
          </w:p>
          <w:p>
            <w:pPr>
              <w:ind w:firstLine="420"/>
            </w:pPr>
            <w:r>
              <w:rPr>
                <w:sz w:val="21"/>
              </w:rPr>
              <w:t>(21)▲药物与诊断（ICD-10）关联审查（禁忌症）：通过患者的诊断与处方药品，分析药品与诊断之间是否存在问题。</w:t>
            </w:r>
          </w:p>
          <w:p>
            <w:pPr>
              <w:ind w:firstLine="420"/>
            </w:pPr>
            <w:r>
              <w:rPr>
                <w:sz w:val="21"/>
              </w:rPr>
              <w:t>(22)药物与诊断（ICD-10）关联审查（适应症）：通过患者的诊断与处方药品，分析药品适应诊是否与患者诊断相符合；并对无适应症用药的问题进行提示。</w:t>
            </w:r>
          </w:p>
          <w:p>
            <w:pPr>
              <w:ind w:firstLine="420"/>
            </w:pPr>
            <w:r>
              <w:rPr>
                <w:sz w:val="21"/>
              </w:rPr>
              <w:t>(23)肝肾功能用药量设置及审核：对于药品在肝肾功能异常患者使用时的要求进行设置，并能对肝肾功能异常患者药物使用合理性问题进行提示。</w:t>
            </w:r>
          </w:p>
          <w:p>
            <w:pPr>
              <w:ind w:firstLine="420"/>
            </w:pPr>
            <w:r>
              <w:rPr>
                <w:sz w:val="21"/>
              </w:rPr>
              <w:t>(24)▲药品信息提示功能：输入药品后，可以快捷查看药品说明书，药品说明书可以提供web接口供第三方调用。</w:t>
            </w:r>
          </w:p>
          <w:p>
            <w:pPr>
              <w:ind w:firstLine="420"/>
            </w:pPr>
            <w:r>
              <w:rPr>
                <w:sz w:val="21"/>
              </w:rPr>
              <w:t>(25)▲自定义药品适应症：对于药品的适应症进行自定义，并可自定义适应症审查问题的提示信息，以及该自定义规则的适用科室等。</w:t>
            </w:r>
          </w:p>
          <w:p>
            <w:pPr>
              <w:ind w:firstLine="420"/>
            </w:pPr>
            <w:r>
              <w:rPr>
                <w:sz w:val="21"/>
              </w:rPr>
              <w:t>(26)▲精细化审核：以上所有审核内容都可根据诊断、年龄、科室、费别、肝肾功能、体重、身高等情况进行相应的精细化设置，以达到定位更加精确。</w:t>
            </w:r>
          </w:p>
          <w:p>
            <w:pPr>
              <w:ind w:firstLine="420"/>
            </w:pPr>
            <w:r>
              <w:rPr>
                <w:sz w:val="21"/>
              </w:rPr>
              <w:t>1.4.2</w:t>
            </w:r>
            <w:r>
              <w:rPr>
                <w:sz w:val="21"/>
              </w:rPr>
              <w:t>.</w:t>
            </w:r>
            <w:r>
              <w:rPr>
                <w:sz w:val="21"/>
              </w:rPr>
              <w:t>规则设置</w:t>
            </w:r>
          </w:p>
          <w:p>
            <w:pPr>
              <w:ind w:firstLine="420"/>
            </w:pPr>
            <w:r>
              <w:rPr>
                <w:sz w:val="21"/>
              </w:rPr>
              <w:t>(1)▲药品可选使用频次设置及审查功能：对于药品可选的使用频次进行设置，并对药品使用频次选用不当问题进行提示。</w:t>
            </w:r>
          </w:p>
          <w:p>
            <w:pPr>
              <w:ind w:firstLine="420"/>
            </w:pPr>
            <w:r>
              <w:rPr>
                <w:sz w:val="21"/>
              </w:rPr>
              <w:t>(2)用户自定义分析规则设置：对于两两药品之间的配伍禁忌（提醒、拦截）和相互作用（提醒、拦截）判断规则进行扩充，并能自定义提醒的文本内容；同样，能够屏蔽已有的判断规则。</w:t>
            </w:r>
          </w:p>
          <w:p>
            <w:pPr>
              <w:ind w:firstLine="420"/>
            </w:pPr>
            <w:r>
              <w:rPr>
                <w:sz w:val="21"/>
              </w:rPr>
              <w:t>(3)药品规格设置：对于不同厂家的药品，设置药品规格属性。</w:t>
            </w:r>
          </w:p>
          <w:p>
            <w:pPr>
              <w:ind w:firstLine="420"/>
            </w:pPr>
            <w:r>
              <w:rPr>
                <w:sz w:val="21"/>
              </w:rPr>
              <w:t>(4)问题级别设置：对于不同类型的提醒信息系统提供默认级别间进行调整。</w:t>
            </w:r>
          </w:p>
          <w:p>
            <w:pPr>
              <w:ind w:firstLine="420"/>
            </w:pPr>
            <w:r>
              <w:rPr>
                <w:sz w:val="21"/>
              </w:rPr>
              <w:t>(5)▲药品标识维护：对于某药品是否属于注射剂等进行自定义设置。</w:t>
            </w:r>
          </w:p>
          <w:p>
            <w:pPr>
              <w:ind w:firstLine="420"/>
            </w:pPr>
            <w:r>
              <w:rPr>
                <w:sz w:val="21"/>
              </w:rPr>
              <w:t>(6)年龄段设置：对不同人群的年龄值进行修改的功能。</w:t>
            </w:r>
          </w:p>
          <w:p>
            <w:pPr>
              <w:ind w:firstLine="420"/>
            </w:pPr>
            <w:r>
              <w:rPr>
                <w:sz w:val="21"/>
              </w:rPr>
              <w:t>(7)▲分级警示/拦截: 实时审核可做到按问题严重程度，设置级别，最严重情况下可以阻断医嘱开具。</w:t>
            </w:r>
          </w:p>
          <w:p>
            <w:pPr>
              <w:ind w:firstLine="420"/>
            </w:pPr>
            <w:r>
              <w:rPr>
                <w:sz w:val="21"/>
              </w:rPr>
              <w:t>(8)▲长/临医嘱联合审核: 住院医生新下达的长期/临时医嘱，应与在执行的所有长期/临时医嘱做联合审核。</w:t>
            </w:r>
          </w:p>
          <w:p>
            <w:pPr>
              <w:ind w:firstLine="420"/>
            </w:pPr>
            <w:r>
              <w:rPr>
                <w:sz w:val="21"/>
              </w:rPr>
              <w:t>(9)▲医院相关管理: 可以根据医院特殊管理情况，制定某种药物的使用规定，医生开具医嘱时给予提醒或拦截。</w:t>
            </w:r>
          </w:p>
          <w:p>
            <w:pPr>
              <w:ind w:firstLine="420"/>
            </w:pPr>
            <w:r>
              <w:rPr>
                <w:sz w:val="21"/>
              </w:rPr>
              <w:t>(10)“系统”应能对剂量、总剂量、给药途径、相互作用、配伍禁忌、配伍浓度、禁忌症、儿童用药、老人用药、成人用药、性别用药、妊娠期用药、哺乳期用药、适应症审查项目进行审查提示屏蔽，屏蔽后不再对相同问题进行提示。</w:t>
            </w:r>
          </w:p>
          <w:p>
            <w:pPr>
              <w:ind w:firstLine="420"/>
            </w:pPr>
            <w:r>
              <w:rPr>
                <w:sz w:val="21"/>
              </w:rPr>
              <w:t>1.4.3</w:t>
            </w:r>
            <w:r>
              <w:rPr>
                <w:sz w:val="21"/>
              </w:rPr>
              <w:t>.</w:t>
            </w:r>
            <w:r>
              <w:rPr>
                <w:sz w:val="21"/>
              </w:rPr>
              <w:t>统计分析</w:t>
            </w:r>
          </w:p>
          <w:p>
            <w:pPr>
              <w:ind w:firstLine="420"/>
            </w:pPr>
            <w:r>
              <w:rPr>
                <w:sz w:val="21"/>
              </w:rPr>
              <w:t>(1)▲问题处方查询与统计：提供多种方式对历史问题处方进行查询，可按医院、时间段、处方中问题的严重程度及问题类型作为条件进行查询，并可重现处方问题。</w:t>
            </w:r>
          </w:p>
          <w:p>
            <w:pPr>
              <w:ind w:firstLine="420"/>
            </w:pPr>
            <w:r>
              <w:rPr>
                <w:sz w:val="21"/>
              </w:rPr>
              <w:t>(2)处方（医嘱）问题保存：审查并警示提醒过医生的潜在用药问题应能及时保存在系统服务器中。</w:t>
            </w:r>
          </w:p>
          <w:p>
            <w:pPr>
              <w:ind w:firstLine="420"/>
            </w:pPr>
            <w:r>
              <w:rPr>
                <w:sz w:val="21"/>
              </w:rPr>
              <w:t>(3)问题处方（医嘱）查询：可以查看原始处方（医嘱）、用药理由并能再次进行审查和查看审查结果详细信息。</w:t>
            </w:r>
          </w:p>
          <w:p>
            <w:pPr>
              <w:ind w:firstLine="420"/>
            </w:pPr>
            <w:r>
              <w:rPr>
                <w:sz w:val="21"/>
              </w:rPr>
              <w:t>(4)▲问题处方（医嘱）统计分析：可以按照科室、医生、药品对不同问题严重程度、不同问题类型的处方（医嘱）及审查结果进行统计，并能生成统计图，并提供导出为excel表，为医院分析总结提供依据。</w:t>
            </w:r>
          </w:p>
          <w:p>
            <w:pPr>
              <w:jc w:val="both"/>
            </w:pPr>
            <w:r>
              <w:rPr>
                <w:sz w:val="21"/>
              </w:rPr>
              <w:t xml:space="preserve">   (5)不合理问题：系统提供不合理问题评估功能，便于药师在做回顾性分析时对已评估的问题做记录。</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ind w:firstLine="480"/>
      </w:pPr>
      <w:r>
        <w:rPr/>
        <w:t>2.采购人：本项目是指</w:t>
      </w:r>
      <w:r>
        <w:rPr/>
        <w:t>广东省人民医院南海医院（佛山市南海区第二人民医院）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1家</w:t>
            </w:r>
          </w:p>
          <w:p>
            <w:r>
              <w:rPr/>
              <w:t>采购包2：</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兼投不兼中，每个投标人最多只能被确定为1个包组的第一中标候选人。已获得一个包组的第一中标候选人资格的投标人可继续参与另一包组的评审但不再纳入中标候选人推荐范围，另一包组从具有中标候选人推荐资格的投标人中推荐评标总得分排名最高的作为第一中标候选人。本项目的评审顺序按照包组号从小到大排序，即首先评审包组一、然后评审包组二。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采购机构代理服务收费标准：本次招标向中标人收取的中标服务费，参照国家发展计划委员会颁布的计价格﹝2002﹞1980号《招标代理服务收费管理暂行办法》的服务类招标代理服务收费标准差额定率累进法执行。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其他，1.资金来源：财政资金，本项目属于政府采购项目 2.投标文件信息公开要求：根据《佛山市南海区财政局关于印发&lt;佛山市南海区关于进一步深化政府采购改革的意见&gt;的通知》（南财采〔2020〕6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020-83224833</w:t>
      </w:r>
    </w:p>
    <w:p>
      <w:pPr>
        <w:ind w:firstLine="480"/>
      </w:pPr>
      <w:r>
        <w:rPr/>
        <w:t>传真：</w:t>
      </w:r>
      <w:r>
        <w:rPr/>
        <w:t>/</w:t>
      </w:r>
    </w:p>
    <w:p>
      <w:pPr>
        <w:ind w:firstLine="480"/>
      </w:pPr>
      <w:r>
        <w:rPr/>
        <w:t>邮箱：</w:t>
      </w:r>
      <w:r>
        <w:rPr/>
        <w:t>zbeb@gdxczb.cn</w:t>
      </w:r>
    </w:p>
    <w:p>
      <w:pPr>
        <w:ind w:firstLine="480"/>
      </w:pPr>
      <w:r>
        <w:rPr/>
        <w:t>地址：</w:t>
      </w:r>
      <w:r>
        <w:rPr/>
        <w:t>广州市越秀区德政北路538号达信大厦1708</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预检分级分诊开发服务、急诊管理系统开发服务、统一支付平台开发服务)：综合评分法,是指投标文件满足招标文件全部实质性要求，且按照评审因素的量化指标评审得分最高的投标人为中标候选人的评标方法。（最低报价不是中标的唯一依据。）</w:t>
      </w:r>
    </w:p>
    <w:p/>
    <w:p>
      <w:r>
        <w:rPr/>
        <w:t>采购包2(药事管理系统开发服务)：综合评分法,是指投标文件满足招标文件全部实质性要求，且按照评审因素的量化指标评审得分最高的投标人为中标候选人的评标方法。（最低报价不是中标的唯一依据。）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广东信诚招标代理咨询有限公司</w:t>
      </w:r>
      <w:r>
        <w:rPr/>
        <w:t>统一对外发布。</w:t>
      </w:r>
    </w:p>
    <w:p>
      <w:pPr>
        <w:ind w:firstLine="480"/>
      </w:pPr>
      <w:r>
        <w:rPr/>
        <w:t>（2）对</w:t>
      </w:r>
      <w:r>
        <w:rPr/>
        <w:t>广东信诚招标代理咨询有限公司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采购包1（预检分级分诊开发服务、急诊管理系统开发服务、统一支付平台开发服务）：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 C1的价格扣除（C1的取值范围见价格扣除比例），即：评标（评审）价＝投标折扣率×(1-C1）</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采购包2（药事管理系统开发服务）：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 C1的价格扣除（C1的取值范围见价格扣除比例），即：评标（评审）价＝投标折扣率×(1-C1）</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采购包1（预检分级分诊开发服务、急诊管理系统开发服务、统一支付平台开发服务）：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提供2021年度财务状况报告或基本开户行出具的资信证明或财政部门认可的政府采购专业担保机构出具的担保函，成立不足一年的单位可提供投标截止日前上一月份财务会计报表；</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 6）法律、行政法规规定的其他条件：须提供书面声明，格式自定。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r>
              <w:rPr/>
              <w:t>8</w:t>
            </w:r>
          </w:p>
        </w:tc>
        <w:tc>
          <w:tcPr>
            <w:tcW w:type="dxa" w:w="3178"/>
          </w:tcPr>
          <w:p>
            <w:r>
              <w:rPr/>
              <w:t>特定资格要求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无，本采购包不属于专门面向中小企业采购的项目，允许非中小微企业、监狱企业、残疾人福利性单位参与项目投标。本项目的中小企业划分标准所属行业为：软件和信息技术服务业。</w:t>
            </w:r>
          </w:p>
        </w:tc>
      </w:tr>
    </w:tbl>
    <w:p/>
    <w:p>
      <w:r>
        <w:rPr/>
        <w:t>采购包2（药事管理系统开发服务）：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提供2021年度财务状况报告或基本开户行出具的资信证明或财政部门认可的政府采购专业担保机构出具的担保函，成立不足一年的单位可提供投标截止日前上一月份财务会计报表；</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 6）法律、行政法规规定的其他条件：须提供书面声明，格式自定。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r>
              <w:rPr/>
              <w:t>8</w:t>
            </w:r>
          </w:p>
        </w:tc>
        <w:tc>
          <w:tcPr>
            <w:tcW w:type="dxa" w:w="3178"/>
          </w:tcPr>
          <w:p>
            <w:r>
              <w:rPr/>
              <w:t>特定资格要求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无，本采购包不属于专门面向中小企业采购的项目，允许非中小微企业、监狱企业、残疾人福利性单位参与项目投标。本项目的中小企业划分标准所属行业为：软件和信息技术服务业。</w:t>
            </w:r>
          </w:p>
        </w:tc>
      </w:tr>
    </w:tbl>
    <w:p/>
    <w:p>
      <w:pPr>
        <w:ind w:firstLine="480"/>
      </w:pPr>
      <w:r>
        <w:rPr/>
        <w:t>表二符合性审查表：</w:t>
      </w:r>
    </w:p>
    <w:p>
      <w:pPr>
        <w:ind w:firstLine="480"/>
      </w:pPr>
    </w:p>
    <w:p/>
    <w:p>
      <w:r>
        <w:rPr/>
        <w:t>采购包1（预检分级分诊开发服务、急诊管理系统开发服务、统一支付平台开发服务）：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按对应格式文件填写、签署、盖章(原件)</w:t>
            </w:r>
          </w:p>
        </w:tc>
      </w:tr>
      <w:tr>
        <w:tc>
          <w:tcPr>
            <w:tcW w:type="dxa" w:w="890"/>
          </w:tcPr>
          <w:p>
            <w:r>
              <w:rPr/>
              <w:t>2</w:t>
            </w:r>
          </w:p>
        </w:tc>
        <w:tc>
          <w:tcPr>
            <w:tcW w:type="dxa" w:w="3178"/>
          </w:tcPr>
          <w:p>
            <w:r>
              <w:rPr/>
              <w:t>法定代表人资格证明书及授权委托书</w:t>
            </w:r>
          </w:p>
        </w:tc>
        <w:tc>
          <w:tcPr>
            <w:tcW w:type="dxa" w:w="4238"/>
          </w:tcPr>
          <w:p>
            <w:r>
              <w:rPr/>
              <w:t>按对应格式文件签署、盖章(原件)</w:t>
            </w:r>
          </w:p>
        </w:tc>
      </w:tr>
      <w:tr>
        <w:tc>
          <w:tcPr>
            <w:tcW w:type="dxa" w:w="890"/>
          </w:tcPr>
          <w:p>
            <w:r>
              <w:rPr/>
              <w:t>3</w:t>
            </w:r>
          </w:p>
        </w:tc>
        <w:tc>
          <w:tcPr>
            <w:tcW w:type="dxa" w:w="3178"/>
          </w:tcPr>
          <w:p>
            <w:r>
              <w:rPr/>
              <w:t>报价要求</w:t>
            </w:r>
          </w:p>
        </w:tc>
        <w:tc>
          <w:tcPr>
            <w:tcW w:type="dxa" w:w="4238"/>
          </w:tcPr>
          <w:p>
            <w:r>
              <w:rPr/>
              <w:t>投标总报价是唯一确定且未超出采购项目预算金额</w:t>
            </w:r>
          </w:p>
        </w:tc>
      </w:tr>
      <w:tr>
        <w:tc>
          <w:tcPr>
            <w:tcW w:type="dxa" w:w="890"/>
          </w:tcPr>
          <w:p>
            <w:r>
              <w:rPr/>
              <w:t>4</w:t>
            </w:r>
          </w:p>
        </w:tc>
        <w:tc>
          <w:tcPr>
            <w:tcW w:type="dxa" w:w="3178"/>
          </w:tcPr>
          <w:p>
            <w:r>
              <w:rPr/>
              <w:t>商务条款</w:t>
            </w:r>
          </w:p>
        </w:tc>
        <w:tc>
          <w:tcPr>
            <w:tcW w:type="dxa" w:w="4238"/>
          </w:tcPr>
          <w:p>
            <w:r>
              <w:rPr/>
              <w:t>实质性响应招标文件中的商务条款</w:t>
            </w:r>
          </w:p>
        </w:tc>
      </w:tr>
      <w:tr>
        <w:tc>
          <w:tcPr>
            <w:tcW w:type="dxa" w:w="890"/>
          </w:tcPr>
          <w:p>
            <w:r>
              <w:rPr/>
              <w:t>5</w:t>
            </w:r>
          </w:p>
        </w:tc>
        <w:tc>
          <w:tcPr>
            <w:tcW w:type="dxa" w:w="3178"/>
          </w:tcPr>
          <w:p>
            <w:r>
              <w:rPr/>
              <w:t>其它</w:t>
            </w:r>
          </w:p>
        </w:tc>
        <w:tc>
          <w:tcPr>
            <w:tcW w:type="dxa" w:w="4238"/>
          </w:tcPr>
          <w:p>
            <w:r>
              <w:rPr/>
              <w:t>投标文件没有招标文件中规定的其它无效投标条款的</w:t>
            </w:r>
          </w:p>
        </w:tc>
      </w:tr>
    </w:tbl>
    <w:p/>
    <w:p>
      <w:r>
        <w:rPr/>
        <w:t>采购包2（药事管理系统开发服务）：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按对应格式文件填写、签署、盖章(原件)</w:t>
            </w:r>
          </w:p>
        </w:tc>
      </w:tr>
      <w:tr>
        <w:tc>
          <w:tcPr>
            <w:tcW w:type="dxa" w:w="890"/>
          </w:tcPr>
          <w:p>
            <w:r>
              <w:rPr/>
              <w:t>2</w:t>
            </w:r>
          </w:p>
        </w:tc>
        <w:tc>
          <w:tcPr>
            <w:tcW w:type="dxa" w:w="3178"/>
          </w:tcPr>
          <w:p>
            <w:r>
              <w:rPr/>
              <w:t>法定代表人资格证明书及授权委托书</w:t>
            </w:r>
          </w:p>
        </w:tc>
        <w:tc>
          <w:tcPr>
            <w:tcW w:type="dxa" w:w="4238"/>
          </w:tcPr>
          <w:p>
            <w:r>
              <w:rPr/>
              <w:t>按对应格式文件签署、盖章(原件)</w:t>
            </w:r>
          </w:p>
        </w:tc>
      </w:tr>
      <w:tr>
        <w:tc>
          <w:tcPr>
            <w:tcW w:type="dxa" w:w="890"/>
          </w:tcPr>
          <w:p>
            <w:r>
              <w:rPr/>
              <w:t>3</w:t>
            </w:r>
          </w:p>
        </w:tc>
        <w:tc>
          <w:tcPr>
            <w:tcW w:type="dxa" w:w="3178"/>
          </w:tcPr>
          <w:p>
            <w:r>
              <w:rPr/>
              <w:t>报价要求</w:t>
            </w:r>
          </w:p>
        </w:tc>
        <w:tc>
          <w:tcPr>
            <w:tcW w:type="dxa" w:w="4238"/>
          </w:tcPr>
          <w:p>
            <w:r>
              <w:rPr/>
              <w:t>投标总报价是唯一确定且未超出采购项目预算金额</w:t>
            </w:r>
          </w:p>
        </w:tc>
      </w:tr>
      <w:tr>
        <w:tc>
          <w:tcPr>
            <w:tcW w:type="dxa" w:w="890"/>
          </w:tcPr>
          <w:p>
            <w:r>
              <w:rPr/>
              <w:t>4</w:t>
            </w:r>
          </w:p>
        </w:tc>
        <w:tc>
          <w:tcPr>
            <w:tcW w:type="dxa" w:w="3178"/>
          </w:tcPr>
          <w:p>
            <w:r>
              <w:rPr/>
              <w:t>商务条款</w:t>
            </w:r>
          </w:p>
        </w:tc>
        <w:tc>
          <w:tcPr>
            <w:tcW w:type="dxa" w:w="4238"/>
          </w:tcPr>
          <w:p>
            <w:r>
              <w:rPr/>
              <w:t>实质性响应招标文件中的商务条款</w:t>
            </w:r>
          </w:p>
        </w:tc>
      </w:tr>
      <w:tr>
        <w:tc>
          <w:tcPr>
            <w:tcW w:type="dxa" w:w="890"/>
          </w:tcPr>
          <w:p>
            <w:r>
              <w:rPr/>
              <w:t>5</w:t>
            </w:r>
          </w:p>
        </w:tc>
        <w:tc>
          <w:tcPr>
            <w:tcW w:type="dxa" w:w="3178"/>
          </w:tcPr>
          <w:p>
            <w:r>
              <w:rPr/>
              <w:t>其它</w:t>
            </w:r>
          </w:p>
        </w:tc>
        <w:tc>
          <w:tcPr>
            <w:tcW w:type="dxa" w:w="4238"/>
          </w:tcPr>
          <w:p>
            <w:r>
              <w:rPr/>
              <w:t>投标文件没有招标文件中规定的其它无效投标条款的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预检分级分诊开发服务、急诊管理系统开发服务、统一支付平台开发服务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投标书功能响应 (20.0分)</w:t>
            </w:r>
          </w:p>
        </w:tc>
        <w:tc>
          <w:tcPr>
            <w:tcW w:type="dxa" w:w="5076"/>
          </w:tcPr>
          <w:p>
            <w:pPr>
              <w:jc w:val="left"/>
            </w:pPr>
            <w:r>
              <w:rPr/>
              <w:t>对非带“▲”的技术要求（不包含带“★”的技术要求）进行逐一响应，本小项共20分： （1）无负偏离的，得20分； （2）负偏离1-3项的，得16分； （3）负偏离4-6项的，得12分； （4）负偏离7-9项的，得8分； （5）负偏离10-12项的，得4分； （6）负偏离13项或以上的，不得分。</w:t>
            </w:r>
          </w:p>
        </w:tc>
      </w:tr>
      <w:tr>
        <w:tc>
          <w:tcPr>
            <w:tcW w:type="dxa" w:w="922"/>
            <w:gridSpan w:val="2"/>
            <w:vMerge/>
          </w:tcPr>
          <w:p/>
        </w:tc>
        <w:tc>
          <w:tcPr>
            <w:tcW w:type="dxa" w:w="2307"/>
          </w:tcPr>
          <w:p>
            <w:pPr>
              <w:jc w:val="left"/>
            </w:pPr>
            <w:r>
              <w:rPr/>
              <w:t>总体方案设计与实施方案 (15.0分)</w:t>
            </w:r>
            <w:r>
              <w:rPr/>
              <w:t>，（等次分值选择：</w:t>
            </w:r>
            <w:r>
              <w:rPr/>
              <w:t>0.0;</w:t>
            </w:r>
            <w:r>
              <w:rPr/>
              <w:t>5.0;</w:t>
            </w:r>
            <w:r>
              <w:rPr/>
              <w:t>10.0;</w:t>
            </w:r>
            <w:r>
              <w:rPr/>
              <w:t>15.0;</w:t>
            </w:r>
            <w:r>
              <w:rPr/>
              <w:t>）</w:t>
            </w:r>
          </w:p>
        </w:tc>
        <w:tc>
          <w:tcPr>
            <w:tcW w:type="dxa" w:w="5076"/>
          </w:tcPr>
          <w:p>
            <w:pPr>
              <w:jc w:val="left"/>
            </w:pPr>
            <w:r>
              <w:rPr/>
              <w:t>根据投标人提供的总体方案设计和实施方案进行综合评价： （1）总体方案设计科学合理，实施方案具体周密合理，前瞻性高的得15分； （2）总体方案设计较科学合理，实施方案较周密合理，前瞻性较高的得10分； （3）总体方案设计不够合理，实施方案总体一般，前瞻性较低的得5分； （4）不满足要求或不提供不得分。</w:t>
            </w:r>
          </w:p>
        </w:tc>
      </w:tr>
      <w:tr>
        <w:tc>
          <w:tcPr>
            <w:tcW w:type="dxa" w:w="922"/>
            <w:gridSpan w:val="2"/>
            <w:vMerge/>
          </w:tcPr>
          <w:p/>
        </w:tc>
        <w:tc>
          <w:tcPr>
            <w:tcW w:type="dxa" w:w="2307"/>
          </w:tcPr>
          <w:p>
            <w:pPr>
              <w:jc w:val="left"/>
            </w:pPr>
            <w:r>
              <w:rPr/>
              <w:t>现状需求分析 (8.0分)</w:t>
            </w:r>
            <w:r>
              <w:rPr/>
              <w:t>，（等次分值选择：</w:t>
            </w:r>
            <w:r>
              <w:rPr/>
              <w:t>0.0;</w:t>
            </w:r>
            <w:r>
              <w:rPr/>
              <w:t>2.0;</w:t>
            </w:r>
            <w:r>
              <w:rPr/>
              <w:t>5.0;</w:t>
            </w:r>
            <w:r>
              <w:rPr/>
              <w:t>8.0;</w:t>
            </w:r>
            <w:r>
              <w:rPr/>
              <w:t>）</w:t>
            </w:r>
          </w:p>
        </w:tc>
        <w:tc>
          <w:tcPr>
            <w:tcW w:type="dxa" w:w="5076"/>
          </w:tcPr>
          <w:p>
            <w:pPr>
              <w:jc w:val="left"/>
            </w:pPr>
            <w:r>
              <w:rPr/>
              <w:t>根据投标人提供的现状需求分析进行综合评价： （1）分析具体详尽、充分了解现状及需求的得8分； （2）分析较具体详尽、较了解现状及需求的得5分； （3）分析不够具体详尽、不够了解现状及需求的得2分； （4）不满足要求或不提供不得分。</w:t>
            </w:r>
          </w:p>
        </w:tc>
      </w:tr>
      <w:tr>
        <w:tc>
          <w:tcPr>
            <w:tcW w:type="dxa" w:w="922"/>
            <w:gridSpan w:val="2"/>
            <w:vMerge/>
          </w:tcPr>
          <w:p/>
        </w:tc>
        <w:tc>
          <w:tcPr>
            <w:tcW w:type="dxa" w:w="2307"/>
          </w:tcPr>
          <w:p>
            <w:pPr>
              <w:jc w:val="left"/>
            </w:pPr>
            <w:r>
              <w:rPr/>
              <w:t>与现有信息系统的融合性 1  (5.0分)</w:t>
            </w:r>
            <w:r>
              <w:rPr/>
              <w:t>，（等次分值选择：</w:t>
            </w:r>
            <w:r>
              <w:rPr/>
              <w:t>0.0;</w:t>
            </w:r>
            <w:r>
              <w:rPr/>
              <w:t>1.0;</w:t>
            </w:r>
            <w:r>
              <w:rPr/>
              <w:t>3.0;</w:t>
            </w:r>
            <w:r>
              <w:rPr/>
              <w:t>5.0;</w:t>
            </w:r>
            <w:r>
              <w:rPr/>
              <w:t>）</w:t>
            </w:r>
          </w:p>
        </w:tc>
        <w:tc>
          <w:tcPr>
            <w:tcW w:type="dxa" w:w="5076"/>
          </w:tcPr>
          <w:p>
            <w:pPr>
              <w:jc w:val="left"/>
            </w:pPr>
            <w:r>
              <w:rPr/>
              <w:t>投标产品中预检分级分诊系统应具备对接融合能力，实现与广东省人民医院南海医院在用的HIS系统（门诊收费、住院收费、诊间结算等系统）的无缝对接，根据投标人提供的对接方案进行综合评价： （1）对接方案合理可行，能高效率低风险的完成对接融合的得5分； （2）对接方案基本合理可行，基本能高效完成对接融合的得3分； （3）对接方案不够合理可行，对接融合不够高效的得1分； （4）对接方案不合理可行，或无法完成对接融合的不得分。</w:t>
            </w:r>
          </w:p>
        </w:tc>
      </w:tr>
      <w:tr>
        <w:tc>
          <w:tcPr>
            <w:tcW w:type="dxa" w:w="922"/>
            <w:gridSpan w:val="2"/>
            <w:vMerge/>
          </w:tcPr>
          <w:p/>
        </w:tc>
        <w:tc>
          <w:tcPr>
            <w:tcW w:type="dxa" w:w="2307"/>
          </w:tcPr>
          <w:p>
            <w:pPr>
              <w:jc w:val="left"/>
            </w:pPr>
            <w:r>
              <w:rPr/>
              <w:t>与现有信息系统的融合性 2  (5.0分)</w:t>
            </w:r>
            <w:r>
              <w:rPr/>
              <w:t>，（等次分值选择：</w:t>
            </w:r>
            <w:r>
              <w:rPr/>
              <w:t>0.0;</w:t>
            </w:r>
            <w:r>
              <w:rPr/>
              <w:t>1.0;</w:t>
            </w:r>
            <w:r>
              <w:rPr/>
              <w:t>3.0;</w:t>
            </w:r>
            <w:r>
              <w:rPr/>
              <w:t>5.0;</w:t>
            </w:r>
            <w:r>
              <w:rPr/>
              <w:t>）</w:t>
            </w:r>
          </w:p>
        </w:tc>
        <w:tc>
          <w:tcPr>
            <w:tcW w:type="dxa" w:w="5076"/>
          </w:tcPr>
          <w:p>
            <w:pPr>
              <w:jc w:val="left"/>
            </w:pPr>
            <w:r>
              <w:rPr/>
              <w:t>投标产品中急诊管理系统应具备对接融合能力，实现与广东省人民医院南海医院在用的HIS系统（门诊收费、住院收费、诊间结算等系统）的无缝对接，根据投标人提供的对接方案进行综合评价： （1）对接方案合理可行，能高效率低风险的完成对接融合的得5分； （2）对接方案基本合理可行，基本能高效完成对接融合的得3分； （3）对接方案不够合理可行，对接融合不够高效的得1分； （4）对接方案不合理可行，或无法完成对接融合的不得分。</w:t>
            </w:r>
          </w:p>
        </w:tc>
      </w:tr>
      <w:tr>
        <w:tc>
          <w:tcPr>
            <w:tcW w:type="dxa" w:w="922"/>
            <w:gridSpan w:val="2"/>
            <w:vMerge/>
          </w:tcPr>
          <w:p/>
        </w:tc>
        <w:tc>
          <w:tcPr>
            <w:tcW w:type="dxa" w:w="2307"/>
          </w:tcPr>
          <w:p>
            <w:pPr>
              <w:jc w:val="left"/>
            </w:pPr>
            <w:r>
              <w:rPr/>
              <w:t>与现有信息系统的融合性 3  (5.0分)</w:t>
            </w:r>
            <w:r>
              <w:rPr/>
              <w:t>，（等次分值选择：</w:t>
            </w:r>
            <w:r>
              <w:rPr/>
              <w:t>0.0;</w:t>
            </w:r>
            <w:r>
              <w:rPr/>
              <w:t>1.0;</w:t>
            </w:r>
            <w:r>
              <w:rPr/>
              <w:t>3.0;</w:t>
            </w:r>
            <w:r>
              <w:rPr/>
              <w:t>5.0;</w:t>
            </w:r>
            <w:r>
              <w:rPr/>
              <w:t>）</w:t>
            </w:r>
          </w:p>
        </w:tc>
        <w:tc>
          <w:tcPr>
            <w:tcW w:type="dxa" w:w="5076"/>
          </w:tcPr>
          <w:p>
            <w:pPr>
              <w:jc w:val="left"/>
            </w:pPr>
            <w:r>
              <w:rPr/>
              <w:t>投标产品中统一支付平台建设需要对医院在用HIS系统进行配套的（报表体系、院内业务流程等）适应性改造，根据投标人提供的适应性改造方案进行综合评价： （1）方案详细完整、合理可行，与实际情况契合度高的得5分； （2）方案相对完整、基本可行，与实际情况契合度一般的得3分； （3）方案不够完整、可行性不足，与实际情况契合度低的得1分； （4）不满足要求或不提供不得分。</w:t>
            </w:r>
          </w:p>
        </w:tc>
      </w:tr>
      <w:tr>
        <w:tc>
          <w:tcPr>
            <w:tcW w:type="dxa" w:w="922"/>
            <w:gridSpan w:val="2"/>
            <w:vMerge/>
          </w:tcPr>
          <w:p/>
        </w:tc>
        <w:tc>
          <w:tcPr>
            <w:tcW w:type="dxa" w:w="2307"/>
          </w:tcPr>
          <w:p>
            <w:pPr>
              <w:jc w:val="left"/>
            </w:pPr>
            <w:r>
              <w:rPr/>
              <w:t>培训、验收方案 (6.0分)</w:t>
            </w:r>
            <w:r>
              <w:rPr/>
              <w:t>，（等次分值选择：</w:t>
            </w:r>
            <w:r>
              <w:rPr/>
              <w:t>0.0;</w:t>
            </w:r>
            <w:r>
              <w:rPr/>
              <w:t>2.0;</w:t>
            </w:r>
            <w:r>
              <w:rPr/>
              <w:t>4.0;</w:t>
            </w:r>
            <w:r>
              <w:rPr/>
              <w:t>6.0;</w:t>
            </w:r>
            <w:r>
              <w:rPr/>
              <w:t>）</w:t>
            </w:r>
          </w:p>
        </w:tc>
        <w:tc>
          <w:tcPr>
            <w:tcW w:type="dxa" w:w="5076"/>
          </w:tcPr>
          <w:p>
            <w:pPr>
              <w:jc w:val="left"/>
            </w:pPr>
            <w:r>
              <w:rPr/>
              <w:t>根据投标人提供的培训（包括但不限于日常操作、管理维护、故障诊断及排错等）、验收（包括但不限于试运行、初验、终验）方案进行综合评价： （1）培训、验收方案详细、培训课程及验收计划安排合理的得6分； （2）培训、验收方案较详细、培训课程及验收计划安排较合理的得4分； （3）培训、验收方案较简略、培训课程及验收计划安排不够合理的得2分； （4）不满足要求或不提供不得分。</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根据投标人提供的售后服务方案（包括但不限于：免费质保期、故障应急响应机制、现场支持、电话咨询、远程在线诊断和故障排除、重大技术问题处理）进行综合评价： （1）各阶段售后服务计划详尽、响应机制合理、优于采购需求的得6分； （2）各阶段售后服务计划较详尽、响应机制较合理、基本满足采购需求的得4分； （3）各阶段售后服务计划较简略、响应机制不够合理、部分满足采购需求的得2分； （4）不满足要求或不提供不得分。</w:t>
            </w:r>
          </w:p>
        </w:tc>
      </w:tr>
      <w:tr>
        <w:tc>
          <w:tcPr>
            <w:tcW w:type="dxa" w:w="922"/>
            <w:gridSpan w:val="2"/>
            <w:vMerge w:val="restart"/>
          </w:tcPr>
          <w:p>
            <w:pPr>
              <w:jc w:val="center"/>
            </w:pPr>
            <w:r>
              <w:rPr/>
              <w:t>商务部分</w:t>
            </w:r>
          </w:p>
        </w:tc>
        <w:tc>
          <w:tcPr>
            <w:tcW w:type="dxa" w:w="2307"/>
          </w:tcPr>
          <w:p>
            <w:pPr>
              <w:jc w:val="left"/>
            </w:pPr>
            <w:r>
              <w:rPr/>
              <w:t>综合实力 (10.0分)</w:t>
            </w:r>
          </w:p>
        </w:tc>
        <w:tc>
          <w:tcPr>
            <w:tcW w:type="dxa" w:w="5076"/>
          </w:tcPr>
          <w:p>
            <w:pPr>
              <w:jc w:val="left"/>
            </w:pPr>
            <w:r>
              <w:rPr/>
              <w:t>1.投标人具有质量管理体系认证证书的得2分，无不得分。 2.投标人具有信息技术服务管理体系认证证书的得2分，无不得分。 3.投标人具有“信息安全服务资质证书”的得2分，无不得分。 4.投标人具有CMMI软件能力成熟度模式整合认证证书的得2分, 无不得分。 5.投标人具有ITSS信息技术服务运行维护标准符合性证书，一级的得2分，二级得1分，三级得0.5分，无不得分。 注：提供证明材料复印件并加盖投标人公章。其中第1、2项须提供在全国认证认可信息公共服务平台上http://cx.cnca.cn查询结果的截图并加盖投标人公章，证书状态必须为“有效”。</w:t>
            </w:r>
          </w:p>
        </w:tc>
      </w:tr>
      <w:tr>
        <w:tc>
          <w:tcPr>
            <w:tcW w:type="dxa" w:w="922"/>
            <w:gridSpan w:val="2"/>
            <w:vMerge/>
          </w:tcPr>
          <w:p/>
        </w:tc>
        <w:tc>
          <w:tcPr>
            <w:tcW w:type="dxa" w:w="2307"/>
          </w:tcPr>
          <w:p>
            <w:pPr>
              <w:jc w:val="left"/>
            </w:pPr>
            <w:r>
              <w:rPr/>
              <w:t>投标产品著作权 (4.0分)</w:t>
            </w:r>
          </w:p>
        </w:tc>
        <w:tc>
          <w:tcPr>
            <w:tcW w:type="dxa" w:w="5076"/>
          </w:tcPr>
          <w:p>
            <w:pPr>
              <w:jc w:val="left"/>
            </w:pPr>
            <w:r>
              <w:rPr/>
              <w:t>投标人提供自有医疗信息化类相关软件产品著作权的每一个得0.5分，最高得4分。 注：提供证明材料复印件并加盖投标人公章。</w:t>
            </w:r>
          </w:p>
        </w:tc>
      </w:tr>
      <w:tr>
        <w:tc>
          <w:tcPr>
            <w:tcW w:type="dxa" w:w="922"/>
            <w:gridSpan w:val="2"/>
            <w:vMerge/>
          </w:tcPr>
          <w:p/>
        </w:tc>
        <w:tc>
          <w:tcPr>
            <w:tcW w:type="dxa" w:w="2307"/>
          </w:tcPr>
          <w:p>
            <w:pPr>
              <w:jc w:val="left"/>
            </w:pPr>
            <w:r>
              <w:rPr/>
              <w:t>拟安排的项目负责人情况 (1.0分)</w:t>
            </w:r>
          </w:p>
        </w:tc>
        <w:tc>
          <w:tcPr>
            <w:tcW w:type="dxa" w:w="5076"/>
          </w:tcPr>
          <w:p>
            <w:pPr>
              <w:jc w:val="left"/>
            </w:pPr>
            <w:r>
              <w:rPr/>
              <w:t>项目团队拟派的项目经理具有PMP或PM认证证书的得1分。 注：提供项目负责人在投标人单位近三个月社保证明（需具有社保收缴部门盖章）、相关证书等材料并加盖投标人公章。</w:t>
            </w:r>
          </w:p>
        </w:tc>
      </w:tr>
      <w:tr>
        <w:tc>
          <w:tcPr>
            <w:tcW w:type="dxa" w:w="922"/>
            <w:gridSpan w:val="2"/>
            <w:vMerge/>
          </w:tcPr>
          <w:p/>
        </w:tc>
        <w:tc>
          <w:tcPr>
            <w:tcW w:type="dxa" w:w="2307"/>
          </w:tcPr>
          <w:p>
            <w:pPr>
              <w:jc w:val="left"/>
            </w:pPr>
            <w:r>
              <w:rPr/>
              <w:t>拟安排的项目主要团队成员情况 (2.0分)</w:t>
            </w:r>
          </w:p>
        </w:tc>
        <w:tc>
          <w:tcPr>
            <w:tcW w:type="dxa" w:w="5076"/>
          </w:tcPr>
          <w:p>
            <w:pPr>
              <w:jc w:val="left"/>
            </w:pPr>
            <w:r>
              <w:rPr/>
              <w:t>项目团队成员要求： 1、有1人具有ITSS服务项目经理认证证书，得1分； 2、有1人具有信息系统项目管理师（高级）证书，得1分。 注：项目负责人除外，提供项目成员在投标人单位近三个月社保证明（需具有社保收缴部门盖章）、相关证书等材料并加盖投标人公章，本项项目经理和团队人员都不得重复评分。</w:t>
            </w:r>
          </w:p>
        </w:tc>
      </w:tr>
      <w:tr>
        <w:tc>
          <w:tcPr>
            <w:tcW w:type="dxa" w:w="922"/>
            <w:gridSpan w:val="2"/>
            <w:vMerge/>
          </w:tcPr>
          <w:p/>
        </w:tc>
        <w:tc>
          <w:tcPr>
            <w:tcW w:type="dxa" w:w="2307"/>
          </w:tcPr>
          <w:p>
            <w:pPr>
              <w:jc w:val="left"/>
            </w:pPr>
            <w:r>
              <w:rPr/>
              <w:t>类似业绩/案例情况 (3.0分)</w:t>
            </w:r>
          </w:p>
        </w:tc>
        <w:tc>
          <w:tcPr>
            <w:tcW w:type="dxa" w:w="5076"/>
          </w:tcPr>
          <w:p>
            <w:pPr>
              <w:jc w:val="left"/>
            </w:pPr>
            <w:r>
              <w:rPr/>
              <w:t>投标人2019年以来具同类医院信息系统建设案例，每提供一个得1分，最高得3分。 注：须提供合同关键页复印件并加盖投标人公章。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药事管理系统开发服务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软件系统技术参数与功能指标1 (3.0分)</w:t>
            </w:r>
            <w:r>
              <w:rPr/>
              <w:t>，（等次分值选择：</w:t>
            </w:r>
            <w:r>
              <w:rPr/>
              <w:t>0.0;</w:t>
            </w:r>
            <w:r>
              <w:rPr/>
              <w:t>1.0;</w:t>
            </w:r>
            <w:r>
              <w:rPr/>
              <w:t>3.0;</w:t>
            </w:r>
            <w:r>
              <w:rPr/>
              <w:t>）</w:t>
            </w:r>
          </w:p>
        </w:tc>
        <w:tc>
          <w:tcPr>
            <w:tcW w:type="dxa" w:w="5076"/>
          </w:tcPr>
          <w:p>
            <w:pPr>
              <w:jc w:val="left"/>
            </w:pPr>
            <w:r>
              <w:rPr/>
              <w:t>药学知识库：具有基础药学知识库，包含丰富的药品说明书和规则；（1）药学知识库丰富，药品说明书和规则齐全的，得3分； （2）药学知识库较丰富，药品说明书和规则较齐全的，得1分； （3）药学知识库不丰富，药品说明书和规则不齐全或不提供的，不得分。</w:t>
            </w:r>
          </w:p>
        </w:tc>
      </w:tr>
      <w:tr>
        <w:tc>
          <w:tcPr>
            <w:tcW w:type="dxa" w:w="922"/>
            <w:gridSpan w:val="2"/>
            <w:vMerge/>
          </w:tcPr>
          <w:p/>
        </w:tc>
        <w:tc>
          <w:tcPr>
            <w:tcW w:type="dxa" w:w="2307"/>
          </w:tcPr>
          <w:p>
            <w:pPr>
              <w:jc w:val="left"/>
            </w:pPr>
            <w:r>
              <w:rPr/>
              <w:t>软件系统技术参数与功能指标2 (3.0分)</w:t>
            </w:r>
            <w:r>
              <w:rPr/>
              <w:t>，（等次分值选择：</w:t>
            </w:r>
            <w:r>
              <w:rPr/>
              <w:t>0.0;</w:t>
            </w:r>
            <w:r>
              <w:rPr/>
              <w:t>1.0;</w:t>
            </w:r>
            <w:r>
              <w:rPr/>
              <w:t>3.0;</w:t>
            </w:r>
            <w:r>
              <w:rPr/>
              <w:t>）</w:t>
            </w:r>
          </w:p>
        </w:tc>
        <w:tc>
          <w:tcPr>
            <w:tcW w:type="dxa" w:w="5076"/>
          </w:tcPr>
          <w:p>
            <w:pPr>
              <w:jc w:val="left"/>
            </w:pPr>
            <w:r>
              <w:rPr/>
              <w:t>规则编辑器：具有可视化规则编辑器，通过简易操作，无需编程就可自定义用药规则； （1）完全满足或优于上述要求的，得3分； （2）对于上述要求有所偏离的，得1分； （3）其他情况或不提供的，不得分。</w:t>
            </w:r>
          </w:p>
        </w:tc>
      </w:tr>
      <w:tr>
        <w:tc>
          <w:tcPr>
            <w:tcW w:type="dxa" w:w="922"/>
            <w:gridSpan w:val="2"/>
            <w:vMerge/>
          </w:tcPr>
          <w:p/>
        </w:tc>
        <w:tc>
          <w:tcPr>
            <w:tcW w:type="dxa" w:w="2307"/>
          </w:tcPr>
          <w:p>
            <w:pPr>
              <w:jc w:val="left"/>
            </w:pPr>
            <w:r>
              <w:rPr/>
              <w:t>软件系统技术参数与功能指标3 (4.0分)</w:t>
            </w:r>
          </w:p>
        </w:tc>
        <w:tc>
          <w:tcPr>
            <w:tcW w:type="dxa" w:w="5076"/>
          </w:tcPr>
          <w:p>
            <w:pPr>
              <w:jc w:val="left"/>
            </w:pPr>
            <w:r>
              <w:rPr/>
              <w:t>审核效率：医生站合理用药审核响应时间不超过1秒（2分），并行审核效率不低于1000张处方/秒（2分）。 注：须提供用户证明（复印件加盖用户及投标人公章）。</w:t>
            </w:r>
          </w:p>
        </w:tc>
      </w:tr>
      <w:tr>
        <w:tc>
          <w:tcPr>
            <w:tcW w:type="dxa" w:w="922"/>
            <w:gridSpan w:val="2"/>
            <w:vMerge/>
          </w:tcPr>
          <w:p/>
        </w:tc>
        <w:tc>
          <w:tcPr>
            <w:tcW w:type="dxa" w:w="2307"/>
          </w:tcPr>
          <w:p>
            <w:pPr>
              <w:jc w:val="left"/>
            </w:pPr>
            <w:r>
              <w:rPr/>
              <w:t>软件系统技术参数与功能指标4 (40.0分)</w:t>
            </w:r>
          </w:p>
        </w:tc>
        <w:tc>
          <w:tcPr>
            <w:tcW w:type="dxa" w:w="5076"/>
          </w:tcPr>
          <w:p>
            <w:pPr>
              <w:jc w:val="left"/>
            </w:pPr>
            <w:r>
              <w:rPr/>
              <w:t>1.对带“▲”的技术要求进行逐一响应，本小项共20分： 每负偏离一项扣1分，扣完为止。 2.非重点技术参数进行逐一响应，本小项共20分。 （1）无负偏离的，得20分； （2）负偏离1-3项的，得16分； （3）负偏离4-6项的，得12分； （4）负偏离7-9项的，得8分； （5）负偏离10-12项的，得4分； （6）负偏离13项或以上的，不得分。 注：须提供详细的方案描述，涉及软件界面的须另提供截图加盖投标人公章，否则不得分。</w:t>
            </w:r>
          </w:p>
        </w:tc>
      </w:tr>
      <w:tr>
        <w:tc>
          <w:tcPr>
            <w:tcW w:type="dxa" w:w="922"/>
            <w:gridSpan w:val="2"/>
            <w:vMerge/>
          </w:tcPr>
          <w:p/>
        </w:tc>
        <w:tc>
          <w:tcPr>
            <w:tcW w:type="dxa" w:w="2307"/>
          </w:tcPr>
          <w:p>
            <w:pPr>
              <w:jc w:val="left"/>
            </w:pPr>
            <w:r>
              <w:rPr/>
              <w:t>数据交换接口 (3.0分)</w:t>
            </w:r>
            <w:r>
              <w:rPr/>
              <w:t>，（等次分值选择：</w:t>
            </w:r>
            <w:r>
              <w:rPr/>
              <w:t>0.0;</w:t>
            </w:r>
            <w:r>
              <w:rPr/>
              <w:t>1.0;</w:t>
            </w:r>
            <w:r>
              <w:rPr/>
              <w:t>3.0;</w:t>
            </w:r>
            <w:r>
              <w:rPr/>
              <w:t>）</w:t>
            </w:r>
          </w:p>
        </w:tc>
        <w:tc>
          <w:tcPr>
            <w:tcW w:type="dxa" w:w="5076"/>
          </w:tcPr>
          <w:p>
            <w:pPr>
              <w:jc w:val="left"/>
            </w:pPr>
            <w:r>
              <w:rPr/>
              <w:t>系统的数据接口方案设计是否合理，是否充分考虑用户实际使用需求，是否符合本项目对当前和未来发展的要求。 （1）系统的数据接口方案设计非常合理，非常充分考虑用户实际使用需求，非常符合本项目对当前和未来发展的要求的，得3分； （2）系统的数据接口方案设计较合理，基本考虑用户实际使用需求，基本符合本项目对当前和未来发展的要求的，得1分； （3）系统的数据接口方案设计较合理，基本考虑用户实际使用需求，基本符合本项目对当前和未来发展的要求或不提供的，不得分。</w:t>
            </w:r>
          </w:p>
        </w:tc>
      </w:tr>
      <w:tr>
        <w:tc>
          <w:tcPr>
            <w:tcW w:type="dxa" w:w="922"/>
            <w:gridSpan w:val="2"/>
            <w:vMerge/>
          </w:tcPr>
          <w:p/>
        </w:tc>
        <w:tc>
          <w:tcPr>
            <w:tcW w:type="dxa" w:w="2307"/>
          </w:tcPr>
          <w:p>
            <w:pPr>
              <w:jc w:val="left"/>
            </w:pPr>
            <w:r>
              <w:rPr/>
              <w:t>项目人员资质 (4.0分)</w:t>
            </w:r>
          </w:p>
        </w:tc>
        <w:tc>
          <w:tcPr>
            <w:tcW w:type="dxa" w:w="5076"/>
          </w:tcPr>
          <w:p>
            <w:pPr>
              <w:jc w:val="left"/>
            </w:pPr>
            <w:r>
              <w:rPr/>
              <w:t>（1）项目经理具有项目管理专业人员认证PMP或PM证书（1分）； （2）以上其他成员中有1名具有信息安全认证证书（1分） （3）以上其他成员中有1名具有药师中级及以上资格证书（2分） 注：须提供证相关人员在投标人单位近三个月社保证明（需具有社保收缴部门盖章）、相关证书复印件等材料并加盖投标人公章,否则不得分。</w:t>
            </w:r>
          </w:p>
        </w:tc>
      </w:tr>
      <w:tr>
        <w:tc>
          <w:tcPr>
            <w:tcW w:type="dxa" w:w="922"/>
            <w:gridSpan w:val="2"/>
            <w:vMerge/>
          </w:tcPr>
          <w:p/>
        </w:tc>
        <w:tc>
          <w:tcPr>
            <w:tcW w:type="dxa" w:w="2307"/>
          </w:tcPr>
          <w:p>
            <w:pPr>
              <w:jc w:val="left"/>
            </w:pPr>
            <w:r>
              <w:rPr/>
              <w:t>项目实施方案 (3.0分)</w:t>
            </w:r>
            <w:r>
              <w:rPr/>
              <w:t>，（等次分值选择：</w:t>
            </w:r>
            <w:r>
              <w:rPr/>
              <w:t>0.0;</w:t>
            </w:r>
            <w:r>
              <w:rPr/>
              <w:t>1.0;</w:t>
            </w:r>
            <w:r>
              <w:rPr/>
              <w:t>3.0;</w:t>
            </w:r>
            <w:r>
              <w:rPr/>
              <w:t>）</w:t>
            </w:r>
          </w:p>
        </w:tc>
        <w:tc>
          <w:tcPr>
            <w:tcW w:type="dxa" w:w="5076"/>
          </w:tcPr>
          <w:p>
            <w:pPr>
              <w:jc w:val="left"/>
            </w:pPr>
            <w:r>
              <w:rPr/>
              <w:t>根据投标人所提供的项目实施计划的合理性、用户培训方案（系统管理培训、系统运维培训等）的完整性、可行性等进行综合评分： （1）项目实施计划非常合理，用户培训方案（系统管理培训、系统运维培训等）非常完整、可行的，得3分； （2）项目实施计划较合理，用户培训方案（系统管理培训、系统运维培训等）较完整、可行的，得1分； （3）项目实施计划不合理，用户培训方案（系统管理培训、系统运维培训等）不完整、可行或不提供的，不得分。</w:t>
            </w:r>
          </w:p>
        </w:tc>
      </w:tr>
      <w:tr>
        <w:tc>
          <w:tcPr>
            <w:tcW w:type="dxa" w:w="922"/>
            <w:gridSpan w:val="2"/>
            <w:vMerge w:val="restart"/>
          </w:tcPr>
          <w:p>
            <w:pPr>
              <w:jc w:val="center"/>
            </w:pPr>
            <w:r>
              <w:rPr/>
              <w:t>商务部分</w:t>
            </w:r>
          </w:p>
        </w:tc>
        <w:tc>
          <w:tcPr>
            <w:tcW w:type="dxa" w:w="2307"/>
          </w:tcPr>
          <w:p>
            <w:pPr>
              <w:jc w:val="left"/>
            </w:pPr>
            <w:r>
              <w:rPr/>
              <w:t>公司资质 (3.0分)</w:t>
            </w:r>
          </w:p>
        </w:tc>
        <w:tc>
          <w:tcPr>
            <w:tcW w:type="dxa" w:w="5076"/>
          </w:tcPr>
          <w:p>
            <w:pPr>
              <w:jc w:val="left"/>
            </w:pPr>
            <w:r>
              <w:rPr/>
              <w:t>1.投标人获得省部级单位“科技型中小企业技术创新基金”（3 分）。 注：提供证明材料复印件并加盖投标人公章，否则不得分。</w:t>
            </w:r>
          </w:p>
        </w:tc>
      </w:tr>
      <w:tr>
        <w:tc>
          <w:tcPr>
            <w:tcW w:type="dxa" w:w="922"/>
            <w:gridSpan w:val="2"/>
            <w:vMerge/>
          </w:tcPr>
          <w:p/>
        </w:tc>
        <w:tc>
          <w:tcPr>
            <w:tcW w:type="dxa" w:w="2307"/>
          </w:tcPr>
          <w:p>
            <w:pPr>
              <w:jc w:val="left"/>
            </w:pPr>
            <w:r>
              <w:rPr/>
              <w:t>知识产权 (6.0分)</w:t>
            </w:r>
          </w:p>
        </w:tc>
        <w:tc>
          <w:tcPr>
            <w:tcW w:type="dxa" w:w="5076"/>
          </w:tcPr>
          <w:p>
            <w:pPr>
              <w:jc w:val="left"/>
            </w:pPr>
            <w:r>
              <w:rPr/>
              <w:t>1.投标人具有“合理用药监测软件”计算机软件著作权登记证书（2分） 2.投标人具有“处方前置审核软件”计算机软件著作权登记证书（2分） 3.投标人具有“临床药师工作站软件”计算机软件著作权登记证书（2分） 注：提供证明材料复印件并加盖投标人公章，否则不得分。</w:t>
            </w:r>
          </w:p>
        </w:tc>
      </w:tr>
      <w:tr>
        <w:tc>
          <w:tcPr>
            <w:tcW w:type="dxa" w:w="922"/>
            <w:gridSpan w:val="2"/>
            <w:vMerge/>
          </w:tcPr>
          <w:p/>
        </w:tc>
        <w:tc>
          <w:tcPr>
            <w:tcW w:type="dxa" w:w="2307"/>
          </w:tcPr>
          <w:p>
            <w:pPr>
              <w:jc w:val="left"/>
            </w:pPr>
            <w:r>
              <w:rPr/>
              <w:t>管理认证体系 (5.0分)</w:t>
            </w:r>
          </w:p>
        </w:tc>
        <w:tc>
          <w:tcPr>
            <w:tcW w:type="dxa" w:w="5076"/>
          </w:tcPr>
          <w:p>
            <w:pPr>
              <w:jc w:val="left"/>
            </w:pPr>
            <w:r>
              <w:rPr/>
              <w:t>1.投标人具有质量管理体系认证证书（认证覆盖范围包括医疗信息系统研发）（1分）； 2.投标人具有环境管理体系认证证书（1分）； 3.投标人具有职业健康安全管理体系认证证书（1分）； 4.投标人具有信息安全管理体系认证证书（1分）； 5.投标人具有信息技术服务管理体系认证证书（1分）。 注：须提供证明材料复印件以及在全国认证认可信息公共服务平台上http://cx.cnca.cn查询结果的截图并加盖投标人公章，证书状态必须为“有效”。</w:t>
            </w:r>
          </w:p>
        </w:tc>
      </w:tr>
      <w:tr>
        <w:tc>
          <w:tcPr>
            <w:tcW w:type="dxa" w:w="922"/>
            <w:gridSpan w:val="2"/>
            <w:vMerge/>
          </w:tcPr>
          <w:p/>
        </w:tc>
        <w:tc>
          <w:tcPr>
            <w:tcW w:type="dxa" w:w="2307"/>
          </w:tcPr>
          <w:p>
            <w:pPr>
              <w:jc w:val="left"/>
            </w:pPr>
            <w:r>
              <w:rPr/>
              <w:t>建设经验 (6.0分)</w:t>
            </w:r>
          </w:p>
        </w:tc>
        <w:tc>
          <w:tcPr>
            <w:tcW w:type="dxa" w:w="5076"/>
          </w:tcPr>
          <w:p>
            <w:pPr>
              <w:jc w:val="left"/>
            </w:pPr>
            <w:r>
              <w:rPr/>
              <w:t>2019年1月1日至今（以合同签订时间为准）投标人具有合理用药系统的三级医院的电子病历应用水平等级评审五级建设经验，每家医院得2分；电子病历应用水平六级（或以上）建设经验，每家医院得3分。最多的6分。 注：须提供销售合同复印件（销售合同须提供首页、关键内容页及签章页，以及医院通过相应评审的官网信息公示截图）并加盖投标人公章。</w:t>
            </w:r>
          </w:p>
        </w:tc>
      </w:tr>
      <w:tr>
        <w:tc>
          <w:tcPr>
            <w:tcW w:type="dxa" w:w="922"/>
            <w:gridSpan w:val="2"/>
            <w:vMerge/>
          </w:tcPr>
          <w:p/>
        </w:tc>
        <w:tc>
          <w:tcPr>
            <w:tcW w:type="dxa" w:w="2307"/>
          </w:tcPr>
          <w:p>
            <w:pPr>
              <w:jc w:val="left"/>
            </w:pPr>
            <w:r>
              <w:rPr/>
              <w:t>案例经验 (6.0分)</w:t>
            </w:r>
          </w:p>
        </w:tc>
        <w:tc>
          <w:tcPr>
            <w:tcW w:type="dxa" w:w="5076"/>
          </w:tcPr>
          <w:p>
            <w:pPr>
              <w:jc w:val="left"/>
            </w:pPr>
            <w:r>
              <w:rPr/>
              <w:t>2019年1月1日至今（以合同签订时间为准）投标人具有合理用药系统的广东省内三甲综合医院的成功案例，每家医院得3分，最多得6分。 注：须提供销售合同及验收报告复印件（销售合同须提供首页、关键内容页及签章页）并加盖投标人公章。</w:t>
            </w:r>
          </w:p>
        </w:tc>
      </w:tr>
      <w:tr>
        <w:tc>
          <w:tcPr>
            <w:tcW w:type="dxa" w:w="922"/>
            <w:gridSpan w:val="2"/>
            <w:vMerge/>
          </w:tcPr>
          <w:p/>
        </w:tc>
        <w:tc>
          <w:tcPr>
            <w:tcW w:type="dxa" w:w="2307"/>
          </w:tcPr>
          <w:p>
            <w:pPr>
              <w:jc w:val="left"/>
            </w:pPr>
            <w:r>
              <w:rPr/>
              <w:t>售后服务1 (1.0分)</w:t>
            </w:r>
          </w:p>
        </w:tc>
        <w:tc>
          <w:tcPr>
            <w:tcW w:type="dxa" w:w="5076"/>
          </w:tcPr>
          <w:p>
            <w:pPr>
              <w:jc w:val="left"/>
            </w:pPr>
            <w:r>
              <w:rPr/>
              <w:t>投标人须在广东省内设有售后服务机构（1分）。 注：提供证明材料复印件并加盖投标人公章。</w:t>
            </w:r>
          </w:p>
        </w:tc>
      </w:tr>
      <w:tr>
        <w:tc>
          <w:tcPr>
            <w:tcW w:type="dxa" w:w="922"/>
            <w:gridSpan w:val="2"/>
            <w:vMerge/>
          </w:tcPr>
          <w:p/>
        </w:tc>
        <w:tc>
          <w:tcPr>
            <w:tcW w:type="dxa" w:w="2307"/>
          </w:tcPr>
          <w:p>
            <w:pPr>
              <w:jc w:val="left"/>
            </w:pPr>
            <w:r>
              <w:rPr/>
              <w:t>售后服务2 (3.0分)</w:t>
            </w:r>
            <w:r>
              <w:rPr/>
              <w:t>，（等次分值选择：</w:t>
            </w:r>
            <w:r>
              <w:rPr/>
              <w:t>0.0;</w:t>
            </w:r>
            <w:r>
              <w:rPr/>
              <w:t>1.0;</w:t>
            </w:r>
            <w:r>
              <w:rPr/>
              <w:t>3.0;</w:t>
            </w:r>
            <w:r>
              <w:rPr/>
              <w:t>）</w:t>
            </w:r>
          </w:p>
        </w:tc>
        <w:tc>
          <w:tcPr>
            <w:tcW w:type="dxa" w:w="5076"/>
          </w:tcPr>
          <w:p>
            <w:pPr>
              <w:jc w:val="left"/>
            </w:pPr>
            <w:r>
              <w:rPr/>
              <w:t>标人具备快速响应能力、质量保证措施、技术文档的完整性、软件升级、客户化修改及售后巡检服务等综合情况比较。 （1）响应能力非常快速，质量保证措施、技术文档非常完整，软件升级、客户化修改及售后巡检服务好的，得3分； （2）响应能力较快速，质量保证措施、技术文档较完整，软件升级、客户化修改及售后巡检服务较好的，得1分； （3）响应能力慢，质量保证措施、技术文档不完整，软件升级、客户化修改及售后巡检服务差或不提供的，不得分。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p>
    <w:p>
      <w:pPr>
        <w:jc w:val="center"/>
      </w:pPr>
      <w:r>
        <w:rPr/>
        <w:t xml:space="preserve"> </w:t>
      </w:r>
    </w:p>
    <w:p>
      <w:pPr>
        <w:jc w:val="center"/>
      </w:pPr>
      <w:r>
        <w:rPr>
          <w:sz w:val="68"/>
        </w:rPr>
        <w:t>佛山市政府采购项目</w:t>
      </w:r>
    </w:p>
    <w:p>
      <w:pPr>
        <w:jc w:val="center"/>
      </w:pPr>
    </w:p>
    <w:p>
      <w:pPr>
        <w:jc w:val="center"/>
      </w:pPr>
      <w:r>
        <w:rPr/>
        <w:t xml:space="preserve"> </w:t>
      </w:r>
    </w:p>
    <w:p>
      <w:pPr>
        <w:jc w:val="center"/>
      </w:pPr>
      <w:r>
        <w:rPr/>
        <w:t xml:space="preserve"> </w:t>
      </w:r>
    </w:p>
    <w:p>
      <w:pPr>
        <w:jc w:val="center"/>
      </w:pPr>
      <w:r>
        <w:rPr>
          <w:sz w:val="68"/>
        </w:rPr>
        <w:t>合</w:t>
      </w:r>
      <w:r>
        <w:rPr>
          <w:sz w:val="68"/>
        </w:rPr>
        <w:t>同</w:t>
      </w:r>
      <w:r>
        <w:rPr>
          <w:sz w:val="68"/>
        </w:rPr>
        <w:t>书</w:t>
      </w:r>
    </w:p>
    <w:p>
      <w:pPr>
        <w:jc w:val="center"/>
      </w:pPr>
    </w:p>
    <w:p>
      <w:pPr>
        <w:jc w:val="center"/>
      </w:pPr>
    </w:p>
    <w:p>
      <w:pPr>
        <w:jc w:val="center"/>
      </w:pPr>
    </w:p>
    <w:p>
      <w:pPr>
        <w:jc w:val="center"/>
      </w:pPr>
    </w:p>
    <w:p>
      <w:pPr>
        <w:ind w:firstLine="2409"/>
      </w:pPr>
      <w:r>
        <w:rPr/>
        <w:t xml:space="preserve"> </w:t>
      </w:r>
    </w:p>
    <w:p>
      <w:pPr>
        <w:ind w:firstLine="2409"/>
      </w:pPr>
      <w:r>
        <w:rPr>
          <w:b/>
          <w:sz w:val="24"/>
        </w:rPr>
        <w:t>项目编号：</w:t>
      </w:r>
      <w:r>
        <w:rPr>
          <w:b/>
          <w:u w:val="single"/>
        </w:rPr>
        <w:t xml:space="preserve">                   </w:t>
      </w:r>
    </w:p>
    <w:p>
      <w:pPr>
        <w:ind w:firstLine="2409"/>
      </w:pPr>
      <w:r>
        <w:rPr/>
        <w:t xml:space="preserve"> </w:t>
      </w:r>
    </w:p>
    <w:p>
      <w:pPr>
        <w:ind w:firstLine="2409"/>
      </w:pPr>
      <w:r>
        <w:rPr>
          <w:b/>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b/>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sz w:val="24"/>
              </w:rPr>
              <w:t>项目名称</w:t>
            </w:r>
            <w:r>
              <w:rPr>
                <w:b/>
                <w:sz w:val="21"/>
              </w:rPr>
              <w:t>：</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4"/>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4"/>
              </w:rPr>
              <w:t>甲</w:t>
            </w:r>
            <w:r>
              <w:rPr>
                <w:b/>
                <w:sz w:val="19"/>
              </w:rPr>
              <w:t xml:space="preserve">    </w:t>
            </w:r>
            <w:r>
              <w:rPr>
                <w:b/>
                <w:sz w:val="24"/>
              </w:rPr>
              <w:t>方：</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r>
              <w:rPr>
                <w:sz w:val="24"/>
                <w:u w:val="single"/>
              </w:rPr>
              <w:t>（采购人名称）</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sz w:val="24"/>
              </w:rPr>
              <w:t>乙</w:t>
            </w:r>
            <w:r>
              <w:rPr>
                <w:b/>
                <w:sz w:val="24"/>
              </w:rPr>
              <w:t xml:space="preserve">   </w:t>
            </w:r>
            <w:r>
              <w:rPr>
                <w:b/>
                <w:sz w:val="24"/>
              </w:rPr>
              <w:t>方：</w:t>
            </w:r>
          </w:p>
        </w:tc>
        <w:tc>
          <w:tcPr>
            <w:tcW w:type="dxa" w:w="6671"/>
            <w:tcBorders>
              <w:top w:val="none" w:color="000000" w:sz="4"/>
              <w:left w:val="none" w:color="000000" w:sz="4"/>
              <w:bottom w:val="none" w:color="000000" w:sz="4"/>
              <w:right w:val="none" w:color="000000" w:sz="4"/>
            </w:tcBorders>
            <w:vAlign w:val="top"/>
          </w:tcPr>
          <w:p>
            <w:r>
              <w:rPr>
                <w:sz w:val="24"/>
                <w:u w:val="single"/>
              </w:rPr>
              <w:t>（中标</w:t>
            </w:r>
            <w:r>
              <w:rPr>
                <w:sz w:val="24"/>
                <w:u w:val="single"/>
              </w:rPr>
              <w:t xml:space="preserve">/成交供应商）                                 </w:t>
            </w:r>
          </w:p>
        </w:tc>
      </w:tr>
    </w:tbl>
    <w:p/>
    <w:p>
      <w:pPr>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r>
        <w:rPr>
          <w:b/>
          <w:sz w:val="24"/>
        </w:rPr>
        <w:t>一、</w:t>
      </w:r>
      <w:r>
        <w:rPr>
          <w:b/>
          <w:sz w:val="24"/>
        </w:rPr>
        <w:t>项目主要内容及实现功能目标：</w:t>
      </w:r>
    </w:p>
    <w:p>
      <w:pPr>
        <w:ind w:firstLine="420"/>
      </w:pPr>
      <w:r>
        <w:rPr>
          <w:sz w:val="24"/>
        </w:rPr>
        <w:t>（按照采购文件和投标</w:t>
      </w:r>
      <w:r>
        <w:rPr>
          <w:sz w:val="24"/>
        </w:rPr>
        <w:t>/</w:t>
      </w:r>
      <w:r>
        <w:rPr>
          <w:sz w:val="24"/>
        </w:rPr>
        <w:t>响应文件执行）</w:t>
      </w:r>
    </w:p>
    <w:p>
      <w:r>
        <w:rPr>
          <w:b/>
          <w:sz w:val="24"/>
        </w:rPr>
        <w:t>二、</w:t>
      </w:r>
      <w:r>
        <w:rPr>
          <w:b/>
          <w:sz w:val="24"/>
        </w:rPr>
        <w:t>产品及服务供应清单：</w:t>
      </w:r>
      <w:r>
        <w:rPr>
          <w:sz w:val="24"/>
        </w:rPr>
        <w:t>见附件一</w:t>
      </w:r>
      <w:r>
        <w:rPr>
          <w:sz w:val="24"/>
        </w:rPr>
        <w:t>《</w:t>
      </w:r>
      <w:r>
        <w:rPr>
          <w:sz w:val="24"/>
        </w:rPr>
        <w:t>分项报价表</w:t>
      </w:r>
      <w:r>
        <w:rPr>
          <w:sz w:val="24"/>
        </w:rPr>
        <w:t>》。</w:t>
      </w:r>
    </w:p>
    <w:p>
      <w:r>
        <w:rPr>
          <w:b/>
          <w:sz w:val="24"/>
        </w:rPr>
        <w:t>三、</w:t>
      </w:r>
      <w:r>
        <w:rPr>
          <w:b/>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1"/>
        <w:gridCol w:w="1440"/>
        <w:gridCol w:w="6208"/>
      </w:tblGrid>
      <w:tr>
        <w:tc>
          <w:tcPr>
            <w:tcW w:type="dxa" w:w="67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40"/>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208"/>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71"/>
            <w:tcBorders>
              <w:top w:val="none" w:color="000000" w:sz="4"/>
              <w:left w:val="single" w:color="000000" w:sz="4"/>
              <w:bottom w:val="single" w:color="000000" w:sz="4"/>
              <w:right w:val="single" w:color="000000" w:sz="4"/>
            </w:tcBorders>
            <w:vAlign w:val="top"/>
          </w:tcPr>
          <w:p>
            <w:pPr>
              <w:numPr>
                <w:ilvl w:val="0"/>
                <w:numId w:val="1"/>
              </w:numP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208"/>
            <w:tcBorders>
              <w:top w:val="none" w:color="000000" w:sz="4"/>
              <w:left w:val="none" w:color="000000" w:sz="4"/>
              <w:bottom w:val="single" w:color="000000" w:sz="4"/>
              <w:right w:val="single" w:color="000000" w:sz="4"/>
            </w:tcBorders>
            <w:vAlign w:val="top"/>
          </w:tcPr>
          <w:p>
            <w:r>
              <w:rPr>
                <w:sz w:val="21"/>
              </w:rPr>
              <w:t>人民币</w:t>
            </w:r>
            <w:r>
              <w:rPr>
                <w:sz w:val="21"/>
              </w:rPr>
              <w:t xml:space="preserve"> </w:t>
            </w:r>
            <w:r>
              <w:rPr>
                <w:sz w:val="21"/>
              </w:rPr>
              <w:t>小写：</w:t>
            </w:r>
            <w:r>
              <w:rPr>
                <w:sz w:val="19"/>
                <w:u w:val="single"/>
              </w:rPr>
              <w:t xml:space="preserve">             </w:t>
            </w:r>
            <w:r>
              <w:rPr>
                <w:sz w:val="21"/>
              </w:rPr>
              <w:t>元；</w:t>
            </w:r>
          </w:p>
          <w:p>
            <w:r>
              <w:rPr>
                <w:sz w:val="21"/>
              </w:rPr>
              <w:t>大写：</w:t>
            </w:r>
            <w:r>
              <w:rPr>
                <w:sz w:val="19"/>
                <w:u w:val="single"/>
              </w:rPr>
              <w:t xml:space="preserve">                          </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208"/>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合同总额包括设备的相关配件、配套设施、安装调试、与项目相关资料、人工费、人员培训费、验收费用、各种税费、运维和接口开发服务、售后服务费及合同实施过程中的应预见和不可预见费用等完成合同规定责任和义务、达到合同目的之一切费用。</w:t>
            </w:r>
          </w:p>
          <w:p>
            <w:r>
              <w:rPr>
                <w:sz w:val="21"/>
              </w:rPr>
              <w:t>（</w:t>
            </w:r>
            <w:r>
              <w:rPr>
                <w:sz w:val="21"/>
              </w:rPr>
              <w:t>2</w:t>
            </w:r>
            <w:r>
              <w:rPr>
                <w:sz w:val="21"/>
              </w:rPr>
              <w:t>）</w:t>
            </w:r>
            <w:r>
              <w:rPr>
                <w:sz w:val="21"/>
              </w:rPr>
              <w:t>价格为固定不变价，天数为公历日。</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208"/>
            <w:tcBorders>
              <w:top w:val="none" w:color="000000" w:sz="4"/>
              <w:left w:val="none" w:color="000000" w:sz="4"/>
              <w:bottom w:val="single" w:color="000000" w:sz="4"/>
              <w:right w:val="single" w:color="000000" w:sz="4"/>
            </w:tcBorders>
            <w:vAlign w:val="top"/>
          </w:tcPr>
          <w:p>
            <w:pPr>
              <w:jc w:val="left"/>
            </w:pPr>
            <w:r>
              <w:rPr>
                <w:sz w:val="21"/>
              </w:rPr>
              <w:t>甲方（用户）指定地点。详细地址为：</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合同履行期限</w:t>
            </w:r>
          </w:p>
        </w:tc>
        <w:tc>
          <w:tcPr>
            <w:tcW w:type="dxa" w:w="6208"/>
            <w:tcBorders>
              <w:top w:val="none" w:color="000000" w:sz="4"/>
              <w:left w:val="none" w:color="000000" w:sz="4"/>
              <w:bottom w:val="single" w:color="000000" w:sz="4"/>
              <w:right w:val="single" w:color="000000" w:sz="4"/>
            </w:tcBorders>
            <w:vAlign w:val="top"/>
          </w:tcPr>
          <w:p>
            <w:pPr>
              <w:jc w:val="left"/>
            </w:pPr>
            <w:r>
              <w:rPr>
                <w:sz w:val="21"/>
              </w:rPr>
              <w:t>合同签订后</w:t>
            </w:r>
            <w:r>
              <w:rPr>
                <w:sz w:val="19"/>
                <w:u w:val="single"/>
              </w:rPr>
              <w:t xml:space="preserve">   </w:t>
            </w:r>
            <w:r>
              <w:rPr>
                <w:sz w:val="21"/>
              </w:rPr>
              <w:t>个月内完成项目验收。</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208"/>
            <w:tcBorders>
              <w:top w:val="none" w:color="000000" w:sz="4"/>
              <w:left w:val="none" w:color="000000" w:sz="4"/>
              <w:bottom w:val="single" w:color="000000" w:sz="4"/>
              <w:right w:val="single" w:color="000000" w:sz="4"/>
            </w:tcBorders>
            <w:vAlign w:val="top"/>
          </w:tcPr>
          <w:p>
            <w:pPr>
              <w:numPr>
                <w:ilvl w:val="0"/>
                <w:numId w:val="1"/>
              </w:numPr>
            </w:pPr>
            <w:r>
              <w:rPr>
                <w:sz w:val="21"/>
              </w:rPr>
              <w:t>一次性签订本项目采购合同。</w:t>
            </w:r>
          </w:p>
          <w:p>
            <w:pPr>
              <w:numPr>
                <w:ilvl w:val="0"/>
                <w:numId w:val="1"/>
              </w:numPr>
            </w:pPr>
            <w:r>
              <w:rPr>
                <w:sz w:val="21"/>
              </w:rPr>
              <w:t>本项目分</w:t>
            </w:r>
            <w:r>
              <w:rPr>
                <w:sz w:val="19"/>
                <w:u w:val="single"/>
              </w:rPr>
              <w:t xml:space="preserve">   </w:t>
            </w:r>
            <w:r>
              <w:rPr>
                <w:sz w:val="21"/>
              </w:rPr>
              <w:t>次签订合同，</w:t>
            </w:r>
            <w:r>
              <w:rPr>
                <w:sz w:val="21"/>
              </w:rPr>
              <w:t>每次合同服务期为一年。本次情况如下：</w:t>
            </w:r>
          </w:p>
          <w:p>
            <w:r>
              <w:rPr>
                <w:sz w:val="21"/>
              </w:rPr>
              <w:t>（</w:t>
            </w:r>
            <w:r>
              <w:rPr>
                <w:sz w:val="21"/>
              </w:rPr>
              <w:t>1）本次签订为第</w:t>
            </w:r>
            <w:r>
              <w:rPr>
                <w:sz w:val="19"/>
                <w:u w:val="single"/>
              </w:rPr>
              <w:t xml:space="preserve">   </w:t>
            </w:r>
            <w:r>
              <w:rPr>
                <w:sz w:val="21"/>
              </w:rPr>
              <w:t>次；</w:t>
            </w:r>
          </w:p>
          <w:p>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r>
              <w:rPr>
                <w:sz w:val="21"/>
              </w:rPr>
              <w:t>（</w:t>
            </w: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208"/>
            <w:tcBorders>
              <w:top w:val="none" w:color="000000" w:sz="4"/>
              <w:left w:val="none" w:color="000000" w:sz="4"/>
              <w:bottom w:val="single" w:color="000000" w:sz="4"/>
              <w:right w:val="single" w:color="000000" w:sz="4"/>
            </w:tcBorders>
            <w:vAlign w:val="top"/>
          </w:tcPr>
          <w:p>
            <w:r>
              <w:rPr>
                <w:b/>
                <w:sz w:val="21"/>
              </w:rPr>
              <w:t>1期：</w:t>
            </w:r>
            <w:r>
              <w:rPr>
                <w:sz w:val="21"/>
              </w:rPr>
              <w:t>支付比例</w:t>
            </w:r>
            <w:r>
              <w:rPr>
                <w:sz w:val="21"/>
              </w:rPr>
              <w:t>60%，</w:t>
            </w:r>
          </w:p>
          <w:p>
            <w:r>
              <w:rPr>
                <w:sz w:val="21"/>
              </w:rPr>
              <w:t>系统试运行之日起</w:t>
            </w:r>
            <w:r>
              <w:rPr>
                <w:sz w:val="21"/>
              </w:rPr>
              <w:t>15个工作日内，乙方书面提出支付申请函、拟支付金额等额的符合甲方财务管理要求的相应发票以及缴纳履约保证金证明材料，甲方确认后启动首期款支付流程，支付合同总金额的60%；</w:t>
            </w:r>
          </w:p>
          <w:p>
            <w:r>
              <w:rPr>
                <w:b/>
                <w:sz w:val="21"/>
              </w:rPr>
              <w:t>2期：</w:t>
            </w:r>
            <w:r>
              <w:rPr>
                <w:sz w:val="21"/>
              </w:rPr>
              <w:t>支付比例</w:t>
            </w:r>
            <w:r>
              <w:rPr>
                <w:sz w:val="21"/>
              </w:rPr>
              <w:t>40%，</w:t>
            </w:r>
          </w:p>
          <w:p>
            <w:r>
              <w:rPr>
                <w:sz w:val="21"/>
              </w:rPr>
              <w:t>项目试运行结束后，甲方组织验收，验收合格后</w:t>
            </w:r>
            <w:r>
              <w:rPr>
                <w:sz w:val="21"/>
              </w:rPr>
              <w:t>15个工作日内，乙方书面提出支付申请函、拟支付金额等额的符合甲方财务管理要求的相应发票以及缴纳履约保证金证明材料，甲方确认后启动尾款支付流程，支付合同总金额的40%。</w:t>
            </w:r>
          </w:p>
          <w:p>
            <w:pPr>
              <w:jc w:val="left"/>
            </w:pPr>
            <w:r>
              <w:rPr>
                <w:b/>
                <w:sz w:val="21"/>
              </w:rPr>
              <w:t>注：本项目合同每笔款项以人民币支票方式支付，</w:t>
            </w:r>
            <w:r>
              <w:rPr>
                <w:b/>
                <w:sz w:val="21"/>
              </w:rPr>
              <w:t>乙方</w:t>
            </w:r>
            <w:r>
              <w:rPr>
                <w:b/>
                <w:sz w:val="21"/>
              </w:rPr>
              <w:t>凭下列材料申请支付：</w:t>
            </w:r>
          </w:p>
          <w:p>
            <w:pPr>
              <w:jc w:val="left"/>
            </w:pPr>
            <w:r>
              <w:rPr>
                <w:sz w:val="21"/>
              </w:rPr>
              <w:t>（</w:t>
            </w:r>
            <w:r>
              <w:rPr>
                <w:sz w:val="21"/>
              </w:rPr>
              <w:t>1）款项支付申请书。</w:t>
            </w:r>
          </w:p>
          <w:p>
            <w:pPr>
              <w:jc w:val="left"/>
            </w:pPr>
            <w:r>
              <w:rPr>
                <w:sz w:val="21"/>
              </w:rPr>
              <w:t>（</w:t>
            </w:r>
            <w:r>
              <w:rPr>
                <w:sz w:val="21"/>
              </w:rPr>
              <w:t>2）合同和中标（成交）通知书。</w:t>
            </w:r>
          </w:p>
          <w:p>
            <w:pPr>
              <w:jc w:val="left"/>
            </w:pPr>
            <w:r>
              <w:rPr>
                <w:sz w:val="21"/>
              </w:rPr>
              <w:t>（</w:t>
            </w:r>
            <w:r>
              <w:rPr>
                <w:sz w:val="21"/>
              </w:rPr>
              <w:t>3）验收报告（须加盖</w:t>
            </w:r>
            <w:r>
              <w:rPr>
                <w:sz w:val="21"/>
              </w:rPr>
              <w:t>甲方</w:t>
            </w:r>
            <w:r>
              <w:rPr>
                <w:sz w:val="21"/>
              </w:rPr>
              <w:t>公章，申请余款时提交）。</w:t>
            </w:r>
          </w:p>
          <w:p>
            <w:pPr>
              <w:jc w:val="left"/>
            </w:pPr>
            <w:r>
              <w:rPr>
                <w:sz w:val="21"/>
              </w:rPr>
              <w:t>（</w:t>
            </w:r>
            <w:r>
              <w:rPr>
                <w:sz w:val="21"/>
              </w:rPr>
              <w:t>4）</w:t>
            </w:r>
            <w:r>
              <w:rPr>
                <w:sz w:val="21"/>
              </w:rPr>
              <w:t>乙方</w:t>
            </w:r>
            <w:r>
              <w:rPr>
                <w:sz w:val="21"/>
              </w:rPr>
              <w:t>须向</w:t>
            </w:r>
            <w:r>
              <w:rPr>
                <w:sz w:val="21"/>
              </w:rPr>
              <w:t>甲方</w:t>
            </w:r>
            <w:r>
              <w:rPr>
                <w:sz w:val="21"/>
              </w:rPr>
              <w:t>提供依法纳税的发票。</w:t>
            </w:r>
          </w:p>
          <w:p>
            <w:pPr>
              <w:jc w:val="left"/>
            </w:pPr>
            <w:r>
              <w:rPr>
                <w:sz w:val="21"/>
              </w:rPr>
              <w:t>（</w:t>
            </w:r>
            <w:r>
              <w:rPr>
                <w:sz w:val="21"/>
              </w:rPr>
              <w:t>5）缴纳履约保证金证明材料。</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208"/>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）乙方</w:t>
            </w:r>
            <w:r>
              <w:rPr>
                <w:sz w:val="21"/>
              </w:rPr>
              <w:t>须向</w:t>
            </w:r>
            <w:r>
              <w:rPr>
                <w:sz w:val="21"/>
              </w:rPr>
              <w:t>甲方</w:t>
            </w:r>
            <w:r>
              <w:rPr>
                <w:sz w:val="21"/>
              </w:rPr>
              <w:t>提供依法纳税的发票。</w:t>
            </w:r>
          </w:p>
          <w:p>
            <w:pPr>
              <w:jc w:val="left"/>
            </w:pPr>
            <w:r>
              <w:rPr>
                <w:sz w:val="21"/>
              </w:rPr>
              <w:t>（</w:t>
            </w:r>
            <w:r>
              <w:rPr>
                <w:sz w:val="21"/>
              </w:rPr>
              <w:t>2</w:t>
            </w:r>
            <w:r>
              <w:rPr>
                <w:sz w:val="21"/>
              </w:rPr>
              <w:t>）</w:t>
            </w:r>
            <w:r>
              <w:rPr>
                <w:sz w:val="21"/>
              </w:rPr>
              <w:t>由于</w:t>
            </w:r>
            <w:r>
              <w:rPr>
                <w:sz w:val="21"/>
              </w:rPr>
              <w:t>甲方</w:t>
            </w:r>
            <w:r>
              <w:rPr>
                <w:sz w:val="21"/>
              </w:rPr>
              <w:t>使用的是财政资金，</w:t>
            </w:r>
            <w:r>
              <w:rPr>
                <w:sz w:val="21"/>
              </w:rPr>
              <w:t>甲方</w:t>
            </w:r>
            <w:r>
              <w:rPr>
                <w:sz w:val="21"/>
              </w:rPr>
              <w:t>在前款约定的付款时间内向政府采购支付部门提出办理财政支付申请手续（不含政府财政支付部门审核的时间）即视为已经按期支付。因财政支付审批流程及办理手续而造成合同费用支付进度有所推延，导致</w:t>
            </w:r>
            <w:r>
              <w:rPr>
                <w:sz w:val="21"/>
              </w:rPr>
              <w:t>甲方</w:t>
            </w:r>
            <w:r>
              <w:rPr>
                <w:sz w:val="21"/>
              </w:rPr>
              <w:t>逾期付款的，</w:t>
            </w:r>
            <w:r>
              <w:rPr>
                <w:sz w:val="21"/>
              </w:rPr>
              <w:t>甲方</w:t>
            </w:r>
            <w:r>
              <w:rPr>
                <w:sz w:val="21"/>
              </w:rPr>
              <w:t>不承担逾期付款的责任。由于财政拨款特殊性，合同金额的支付时间以财政拨款支付日期为准。</w:t>
            </w:r>
          </w:p>
          <w:p>
            <w:pPr>
              <w:jc w:val="left"/>
            </w:pPr>
            <w:r>
              <w:rPr>
                <w:sz w:val="21"/>
              </w:rPr>
              <w:t>（</w:t>
            </w:r>
            <w:r>
              <w:rPr>
                <w:sz w:val="21"/>
              </w:rPr>
              <w:t>3</w:t>
            </w:r>
            <w:r>
              <w:rPr>
                <w:sz w:val="21"/>
              </w:rPr>
              <w:t>）</w:t>
            </w:r>
            <w:r>
              <w:rPr>
                <w:sz w:val="21"/>
              </w:rPr>
              <w:t>收款方、出具发票方、合同乙方均必须与中标（成交）供应商名称一致。</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08"/>
            <w:tcBorders>
              <w:top w:val="none" w:color="000000" w:sz="4"/>
              <w:left w:val="none" w:color="000000" w:sz="4"/>
              <w:bottom w:val="single" w:color="000000" w:sz="4"/>
              <w:right w:val="single" w:color="000000" w:sz="4"/>
            </w:tcBorders>
            <w:vAlign w:val="top"/>
          </w:tcPr>
          <w:p>
            <w:pPr>
              <w:jc w:val="left"/>
            </w:pPr>
            <w:r>
              <w:rPr>
                <w:b/>
                <w:sz w:val="21"/>
              </w:rPr>
              <w:t>收取比例：</w:t>
            </w:r>
            <w:r>
              <w:rPr>
                <w:b/>
                <w:sz w:val="21"/>
              </w:rPr>
              <w:t>5 %，说明：</w:t>
            </w:r>
          </w:p>
          <w:p>
            <w:pPr>
              <w:jc w:val="left"/>
            </w:pPr>
            <w:r>
              <w:rPr>
                <w:sz w:val="21"/>
              </w:rPr>
              <w:t>（</w:t>
            </w:r>
            <w:r>
              <w:rPr>
                <w:sz w:val="21"/>
              </w:rPr>
              <w:t>1</w:t>
            </w:r>
            <w:r>
              <w:rPr>
                <w:sz w:val="21"/>
              </w:rPr>
              <w:t>）乙方须在合同签订后</w:t>
            </w:r>
            <w:r>
              <w:rPr>
                <w:sz w:val="21"/>
              </w:rPr>
              <w:t>15个工作日内向甲方提交缴纳履约保证金缴纳证明。</w:t>
            </w:r>
          </w:p>
          <w:p>
            <w:pPr>
              <w:jc w:val="left"/>
            </w:pPr>
            <w:r>
              <w:rPr>
                <w:sz w:val="21"/>
              </w:rPr>
              <w:t>（</w:t>
            </w:r>
            <w:r>
              <w:rPr>
                <w:sz w:val="21"/>
              </w:rPr>
              <w:t>2</w:t>
            </w:r>
            <w:r>
              <w:rPr>
                <w:sz w:val="21"/>
              </w:rPr>
              <w:t>）履约保证金可以采用银行转账、支票、汇票、本票或者银行保函等形式提交。履约保证金数额为合同总金额的</w:t>
            </w:r>
            <w:r>
              <w:rPr>
                <w:sz w:val="21"/>
              </w:rPr>
              <w:t>5%。采用保函形式提交履约保证金的，保函的有效期应当覆盖项目实施全过程，当项目实施过程中保函剩余有效期不足60日时，乙方应当适当延长保函有效期或重新提交履约保证金。</w:t>
            </w:r>
          </w:p>
          <w:p>
            <w:pPr>
              <w:jc w:val="left"/>
            </w:pPr>
            <w:r>
              <w:rPr>
                <w:sz w:val="21"/>
              </w:rPr>
              <w:t>（</w:t>
            </w:r>
            <w:r>
              <w:rPr>
                <w:sz w:val="21"/>
              </w:rPr>
              <w:t>3</w:t>
            </w:r>
            <w:r>
              <w:rPr>
                <w:sz w:val="21"/>
              </w:rPr>
              <w:t>）履约保证金在项目验收合格后一年</w:t>
            </w:r>
            <w:r>
              <w:rPr>
                <w:sz w:val="21"/>
              </w:rPr>
              <w:t>后</w:t>
            </w:r>
            <w:r>
              <w:rPr>
                <w:sz w:val="21"/>
              </w:rPr>
              <w:t>，甲方按照合同约定原额无息退还，履约保证金以履约担保函形式提交的，担保责任终止。</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服务要求（本条要求适用包组一）</w:t>
            </w:r>
          </w:p>
        </w:tc>
        <w:tc>
          <w:tcPr>
            <w:tcW w:type="dxa" w:w="6208"/>
            <w:tcBorders>
              <w:top w:val="none" w:color="000000" w:sz="4"/>
              <w:left w:val="none" w:color="000000" w:sz="4"/>
              <w:bottom w:val="single" w:color="000000" w:sz="4"/>
              <w:right w:val="single" w:color="000000" w:sz="4"/>
            </w:tcBorders>
            <w:vAlign w:val="top"/>
          </w:tcPr>
          <w:p>
            <w:pPr>
              <w:jc w:val="left"/>
            </w:pPr>
            <w:r>
              <w:rPr>
                <w:sz w:val="21"/>
              </w:rPr>
              <w:t>乙方须针对本项目建立一个完善和稳定的项目团队和管理机构，其中设项目经理</w:t>
            </w:r>
            <w:r>
              <w:rPr>
                <w:sz w:val="21"/>
              </w:rPr>
              <w:t>1 名，由具备丰富相关项目实施经验的人员承担，项目经理负责本项目的日常管理协调工作，要求具备相应的项目组织建设经验，沟通能力、需求分析理解能力强。合同履行期间乙方须配备业务需求分析、系统分析、信息安全设计等专业技术骨干。合同履行期间稳定项目组成员人数不少于 5名。合同履行期间，如项目组无法胜任项目建设工作要求，甲方有权要求乙方调换项目主要实施人员，乙方应无条件接受；乙方应具备健全的质量保证体系，满足质量保证体系标准等行业标准规范要求。</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服务要求（本条要求适用包组二）</w:t>
            </w:r>
          </w:p>
        </w:tc>
        <w:tc>
          <w:tcPr>
            <w:tcW w:type="dxa" w:w="6208"/>
            <w:tcBorders>
              <w:top w:val="none" w:color="000000" w:sz="4"/>
              <w:left w:val="none" w:color="000000" w:sz="4"/>
              <w:bottom w:val="single" w:color="000000" w:sz="4"/>
              <w:right w:val="single" w:color="000000" w:sz="4"/>
            </w:tcBorders>
            <w:vAlign w:val="top"/>
          </w:tcPr>
          <w:p>
            <w:pPr>
              <w:jc w:val="left"/>
            </w:pPr>
            <w:r>
              <w:rPr>
                <w:sz w:val="21"/>
              </w:rPr>
              <w:t>乙方须针对本项目建立一个完善和稳定的项目团队和管理机构，其中设项目经理</w:t>
            </w:r>
            <w:r>
              <w:rPr>
                <w:sz w:val="21"/>
              </w:rPr>
              <w:t>1 名，由具备丰富相关项目实施经验的人员承担，项目经理负责本项目的日常管理协调工作，要求具备相应的项目组织建设经验，沟通能力、需求分析理解能力强。合同履行期间乙方须配备业务需求分析、系统分析、信息安全设计等专业技术骨干及专业的信息安全人员、药学资格人员。合同履行期间稳定项目组成员人数不少于3名。合同履行期间，如项目组无法胜任项目建设工作要求，甲方有权要求乙方调换项目主要实施人员，乙方应无条件接受；乙方应具备健全的质量保证体系，满足质量保证体系标准等行业标准规范要求。</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包装和运输</w:t>
            </w:r>
          </w:p>
        </w:tc>
        <w:tc>
          <w:tcPr>
            <w:tcW w:type="dxa" w:w="6208"/>
            <w:tcBorders>
              <w:top w:val="none" w:color="000000" w:sz="4"/>
              <w:left w:val="none" w:color="000000" w:sz="4"/>
              <w:bottom w:val="single" w:color="000000" w:sz="4"/>
              <w:right w:val="single" w:color="000000" w:sz="4"/>
            </w:tcBorders>
            <w:vAlign w:val="top"/>
          </w:tcPr>
          <w:p>
            <w:pPr>
              <w:jc w:val="left"/>
            </w:pPr>
            <w:r>
              <w:rPr>
                <w:sz w:val="21"/>
              </w:rPr>
              <w:t>1.所有产品/服务交付地点均在医院内，涉及的包装运输由乙方负责。</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项目实施要求</w:t>
            </w:r>
          </w:p>
        </w:tc>
        <w:tc>
          <w:tcPr>
            <w:tcW w:type="dxa" w:w="6208"/>
            <w:tcBorders>
              <w:top w:val="none" w:color="000000" w:sz="4"/>
              <w:left w:val="none" w:color="000000" w:sz="4"/>
              <w:bottom w:val="single" w:color="000000" w:sz="4"/>
              <w:right w:val="single" w:color="000000" w:sz="4"/>
            </w:tcBorders>
            <w:vAlign w:val="top"/>
          </w:tcPr>
          <w:p>
            <w:pPr>
              <w:jc w:val="left"/>
            </w:pPr>
            <w:r>
              <w:rPr>
                <w:sz w:val="21"/>
              </w:rPr>
              <w:t>1.投标人有责任检查安装现场是否符合产品安装条件。</w:t>
            </w:r>
          </w:p>
          <w:p>
            <w:pPr>
              <w:jc w:val="left"/>
            </w:pPr>
            <w:r>
              <w:rPr>
                <w:sz w:val="21"/>
              </w:rPr>
              <w:t>2.投标人应承担投标软件的安装、测试和有关配置工作，进行实际的测试。</w:t>
            </w:r>
          </w:p>
          <w:p>
            <w:pPr>
              <w:jc w:val="left"/>
            </w:pPr>
            <w:r>
              <w:rPr>
                <w:sz w:val="21"/>
              </w:rPr>
              <w:t>3.投标人应全力与甲方、系统集成商及其他供应商配合，根据甲方的详细需求，提交实施方案得到甲方及集成商确认后实施，保证系统按时、正常地投入运行。</w:t>
            </w:r>
          </w:p>
          <w:p>
            <w:pPr>
              <w:jc w:val="left"/>
            </w:pPr>
            <w:r>
              <w:rPr>
                <w:sz w:val="21"/>
              </w:rPr>
              <w:t>4.产品实施过程中，如果牵涉到与第三方产品集成工作，投标人应与集成商及其他供应商通力合作，并提供必要的技术支持。</w:t>
            </w:r>
          </w:p>
          <w:p>
            <w:pPr>
              <w:jc w:val="left"/>
            </w:pPr>
            <w:r>
              <w:rPr>
                <w:sz w:val="21"/>
              </w:rPr>
              <w:t>5.投标人应在投标文件中提供本次项目实施的实施人员名单，以及整个软件实施工期的具体计划安排表。</w:t>
            </w:r>
          </w:p>
          <w:p>
            <w:pPr>
              <w:jc w:val="left"/>
            </w:pPr>
            <w:r>
              <w:rPr>
                <w:sz w:val="21"/>
              </w:rPr>
              <w:t>6.工期要求：合同签订后6个月内完成项目验收。</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项目实施要求（本条要求适用包组二）</w:t>
            </w:r>
          </w:p>
        </w:tc>
        <w:tc>
          <w:tcPr>
            <w:tcW w:type="dxa" w:w="6208"/>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）实施周期：合同签订后</w:t>
            </w:r>
            <w:r>
              <w:rPr>
                <w:sz w:val="21"/>
              </w:rPr>
              <w:t>9个月内完成项目验收。</w:t>
            </w:r>
          </w:p>
          <w:p>
            <w:pPr>
              <w:jc w:val="left"/>
            </w:pPr>
            <w:r>
              <w:rPr>
                <w:sz w:val="21"/>
              </w:rPr>
              <w:t>（</w:t>
            </w:r>
            <w:r>
              <w:rPr>
                <w:sz w:val="21"/>
              </w:rPr>
              <w:t>2</w:t>
            </w:r>
            <w:r>
              <w:rPr>
                <w:sz w:val="21"/>
              </w:rPr>
              <w:t>）项目人员：项目经理具有相关项目管理经验，具有</w:t>
            </w:r>
            <w:r>
              <w:rPr>
                <w:sz w:val="21"/>
              </w:rPr>
              <w:t>PMP或PM证书；实施团队必须配备专业的信息安全人员、药学资格人员。</w:t>
            </w:r>
          </w:p>
          <w:p>
            <w:pPr>
              <w:jc w:val="left"/>
            </w:pPr>
            <w:r>
              <w:rPr>
                <w:sz w:val="21"/>
              </w:rPr>
              <w:t>（</w:t>
            </w:r>
            <w:r>
              <w:rPr>
                <w:sz w:val="21"/>
              </w:rPr>
              <w:t>3</w:t>
            </w:r>
            <w:r>
              <w:rPr>
                <w:sz w:val="21"/>
              </w:rPr>
              <w:t>）投标人应在投标文件中提供本次项目实施的实施人员名单，以及整个软件实施工期的具体计划安排表。</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人员培训要求（本条要求适用包组一）</w:t>
            </w:r>
          </w:p>
        </w:tc>
        <w:tc>
          <w:tcPr>
            <w:tcW w:type="dxa" w:w="6208"/>
            <w:tcBorders>
              <w:top w:val="none" w:color="000000" w:sz="4"/>
              <w:left w:val="none" w:color="000000" w:sz="4"/>
              <w:bottom w:val="single" w:color="000000" w:sz="4"/>
              <w:right w:val="single" w:color="000000" w:sz="4"/>
            </w:tcBorders>
            <w:vAlign w:val="top"/>
          </w:tcPr>
          <w:p>
            <w:pPr>
              <w:jc w:val="left"/>
            </w:pPr>
            <w:r>
              <w:rPr>
                <w:sz w:val="21"/>
              </w:rPr>
              <w:t>1.乙方应提供相应的应用软件技术和系统操作、对系统维护人员进行系统维护等方面的培训。承担培训的讲师或辅导人员必须是公司的资深工程师且具有同类型项目实际工作经验和教学经验。</w:t>
            </w:r>
          </w:p>
          <w:p>
            <w:pPr>
              <w:jc w:val="left"/>
            </w:pPr>
            <w:r>
              <w:rPr>
                <w:sz w:val="21"/>
              </w:rPr>
              <w:t>2.技术人员培训分两种，现场培训和集中培训。</w:t>
            </w:r>
          </w:p>
          <w:p>
            <w:pPr>
              <w:jc w:val="left"/>
            </w:pPr>
            <w:r>
              <w:rPr>
                <w:sz w:val="21"/>
              </w:rPr>
              <w:t>3.培训内容包括：</w:t>
            </w:r>
          </w:p>
          <w:p>
            <w:pPr>
              <w:jc w:val="left"/>
            </w:pPr>
            <w:r>
              <w:rPr>
                <w:sz w:val="21"/>
              </w:rPr>
              <w:t>（</w:t>
            </w:r>
            <w:r>
              <w:rPr>
                <w:sz w:val="21"/>
              </w:rPr>
              <w:t>1）在软件的安装调试、故障处理过程中，对系统使用人员进行实际的操作和故障处理培训。</w:t>
            </w:r>
          </w:p>
          <w:p>
            <w:pPr>
              <w:jc w:val="left"/>
            </w:pPr>
            <w:r>
              <w:rPr>
                <w:sz w:val="21"/>
              </w:rPr>
              <w:t>（</w:t>
            </w:r>
            <w:r>
              <w:rPr>
                <w:sz w:val="21"/>
              </w:rPr>
              <w:t>2）在整套系统安装、调试完成后，对系统使用人员的操作培训，讲授说明系统的安装、保养和应该注意的事项，使系统使用人员能够尽快地熟悉软件的性能。</w:t>
            </w:r>
          </w:p>
          <w:p>
            <w:pPr>
              <w:jc w:val="left"/>
            </w:pPr>
            <w:r>
              <w:rPr>
                <w:sz w:val="21"/>
              </w:rPr>
              <w:t>（</w:t>
            </w:r>
            <w:r>
              <w:rPr>
                <w:sz w:val="21"/>
              </w:rPr>
              <w:t>3）乙方须提供培训方案，包括培训教师、培训内容、培训教材。</w:t>
            </w:r>
          </w:p>
          <w:p>
            <w:pPr>
              <w:jc w:val="left"/>
            </w:pPr>
            <w:r>
              <w:rPr>
                <w:sz w:val="21"/>
              </w:rPr>
              <w:t>4.投标人应在投标文件中提出培训计划，计划包括培训项目、人数、地点、日程、资料、其它等详细内容。技术培训的内容必须包含软件的日常操作和管理维护，以及基本的故障诊断与排错。</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人员培训要求（本条要求适用包组二）</w:t>
            </w:r>
          </w:p>
        </w:tc>
        <w:tc>
          <w:tcPr>
            <w:tcW w:type="dxa" w:w="6208"/>
            <w:tcBorders>
              <w:top w:val="none" w:color="000000" w:sz="4"/>
              <w:left w:val="none" w:color="000000" w:sz="4"/>
              <w:bottom w:val="single" w:color="000000" w:sz="4"/>
              <w:right w:val="single" w:color="000000" w:sz="4"/>
            </w:tcBorders>
            <w:vAlign w:val="top"/>
          </w:tcPr>
          <w:p>
            <w:pPr>
              <w:jc w:val="left"/>
            </w:pPr>
            <w:r>
              <w:rPr>
                <w:sz w:val="21"/>
              </w:rPr>
              <w:t>1.乙方须提供相应的应用软件技术和系统操作、对系统维护人员进行系统维护等方面的培训。承担培训的讲师或辅导人员必须具有同类型项目实际工作经验和教学经验。</w:t>
            </w:r>
          </w:p>
          <w:p>
            <w:pPr>
              <w:jc w:val="left"/>
            </w:pPr>
            <w:r>
              <w:rPr>
                <w:sz w:val="21"/>
              </w:rPr>
              <w:t>2.技术人员培训分两种，现场培训和集中培训。</w:t>
            </w:r>
          </w:p>
          <w:p>
            <w:pPr>
              <w:jc w:val="left"/>
            </w:pPr>
            <w:r>
              <w:rPr>
                <w:sz w:val="21"/>
              </w:rPr>
              <w:t>3.培训对象包括系统管理员、管理人员、操作员。具有详细的培训计划。</w:t>
            </w:r>
          </w:p>
          <w:p>
            <w:pPr>
              <w:jc w:val="left"/>
            </w:pPr>
            <w:r>
              <w:rPr>
                <w:sz w:val="21"/>
              </w:rPr>
              <w:t>4.培训内容包括：</w:t>
            </w:r>
          </w:p>
          <w:p>
            <w:pPr>
              <w:jc w:val="left"/>
            </w:pPr>
            <w:r>
              <w:rPr>
                <w:sz w:val="21"/>
              </w:rPr>
              <w:t>（</w:t>
            </w:r>
            <w:r>
              <w:rPr>
                <w:sz w:val="21"/>
              </w:rPr>
              <w:t>1）在软件的安装调试、故障处理过程中，对系统使用人员进行实际的操作和故障处理培训；</w:t>
            </w:r>
          </w:p>
          <w:p>
            <w:pPr>
              <w:jc w:val="left"/>
            </w:pPr>
            <w:r>
              <w:rPr>
                <w:sz w:val="21"/>
              </w:rPr>
              <w:t>（</w:t>
            </w:r>
            <w:r>
              <w:rPr>
                <w:sz w:val="21"/>
              </w:rPr>
              <w:t>2）在整套系统安装、调试完成后，对系统使用人员的操作培训，讲授说明系统的安装、保养和应该注意的事项，使系统使用人员能够尽快地熟悉软件的性能。</w:t>
            </w:r>
          </w:p>
          <w:p>
            <w:pPr>
              <w:jc w:val="left"/>
            </w:pPr>
            <w:r>
              <w:rPr>
                <w:sz w:val="21"/>
              </w:rPr>
              <w:t>（</w:t>
            </w:r>
            <w:r>
              <w:rPr>
                <w:sz w:val="21"/>
              </w:rPr>
              <w:t>3）乙方须提供培训方案，包括培训教师、培训内容、培训教材。</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售后服务（包括但不限于运行维护、升级更新、备品备件、耗材、信息接口）（本条要求适用包组一）</w:t>
            </w:r>
          </w:p>
        </w:tc>
        <w:tc>
          <w:tcPr>
            <w:tcW w:type="dxa" w:w="6208"/>
            <w:tcBorders>
              <w:top w:val="none" w:color="000000" w:sz="4"/>
              <w:left w:val="none" w:color="000000" w:sz="4"/>
              <w:bottom w:val="single" w:color="000000" w:sz="4"/>
              <w:right w:val="single" w:color="000000" w:sz="4"/>
            </w:tcBorders>
            <w:vAlign w:val="top"/>
          </w:tcPr>
          <w:p>
            <w:pPr>
              <w:jc w:val="left"/>
            </w:pPr>
            <w:r>
              <w:rPr>
                <w:sz w:val="21"/>
              </w:rPr>
              <w:t>1.乙方必须为本项目内所供应和安装的产品提供一年的免费质保服务，并为用户后续的医疗卫生信息化建设提供长期的技术支持。</w:t>
            </w:r>
          </w:p>
          <w:p>
            <w:pPr>
              <w:jc w:val="left"/>
            </w:pPr>
            <w:r>
              <w:rPr>
                <w:sz w:val="21"/>
              </w:rPr>
              <w:t>2.由于本项目信息系统的特殊性，因此，在接到系统故障通知后，乙方必须在20分钟内响应。对于影响系统正常运行的严重故障（包括由系统原因引起的），乙方的相关技术人员必须在接到故障通知后2小时内赶到现场，查找原因，提出解决方案，直至故障修妥完全恢复正常工作为止，一般要求保证系统在24小时之内修复，并需要提供确保承诺实现的措施。</w:t>
            </w:r>
          </w:p>
          <w:p>
            <w:pPr>
              <w:jc w:val="left"/>
            </w:pPr>
            <w:r>
              <w:rPr>
                <w:sz w:val="21"/>
              </w:rPr>
              <w:t>3.乙方必须帮助用户建立远程维护体系，乙方工程师经甲方授权通过电话线远程登录到甲方网络系统进行的故障诊断和故障排除。</w:t>
            </w:r>
          </w:p>
          <w:p>
            <w:pPr>
              <w:jc w:val="left"/>
            </w:pPr>
            <w:r>
              <w:rPr>
                <w:sz w:val="21"/>
              </w:rPr>
              <w:t>4.合同履行期间需专人定点进行实施，质保期间内也需专人定期或不定期参加日常维护工作。</w:t>
            </w:r>
          </w:p>
          <w:p>
            <w:pPr>
              <w:jc w:val="left"/>
            </w:pPr>
            <w:r>
              <w:rPr>
                <w:sz w:val="21"/>
              </w:rPr>
              <w:t>5.乙方须做出无推诿承诺。即乙方应提供特殊措施，无论由于哪一方产生的问题而使系统发生不正常情况时，并在得到甲方通知后，须立即派遣工程师到场，全力协助系统集成商和其他供应商，使系统尽快恢复正常。</w:t>
            </w:r>
          </w:p>
        </w:tc>
      </w:tr>
      <w:tr>
        <w:tc>
          <w:tcPr>
            <w:tcW w:type="dxa" w:w="671"/>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1440"/>
            <w:tcBorders>
              <w:top w:val="none" w:color="000000" w:sz="4"/>
              <w:left w:val="none" w:color="000000" w:sz="4"/>
              <w:bottom w:val="single" w:color="000000" w:sz="4"/>
              <w:right w:val="single" w:color="000000" w:sz="4"/>
            </w:tcBorders>
            <w:vAlign w:val="top"/>
          </w:tcPr>
          <w:p>
            <w:pPr>
              <w:jc w:val="center"/>
            </w:pPr>
            <w:r>
              <w:rPr>
                <w:b/>
                <w:sz w:val="21"/>
              </w:rPr>
              <w:t>售后服务（包括但不限于运行维护、升级更新、备品备件、耗材、信息接口）（本条要求适用包组二）</w:t>
            </w:r>
          </w:p>
        </w:tc>
        <w:tc>
          <w:tcPr>
            <w:tcW w:type="dxa" w:w="6208"/>
            <w:tcBorders>
              <w:top w:val="none" w:color="000000" w:sz="4"/>
              <w:left w:val="none" w:color="000000" w:sz="4"/>
              <w:bottom w:val="single" w:color="000000" w:sz="4"/>
              <w:right w:val="single" w:color="000000" w:sz="4"/>
            </w:tcBorders>
            <w:vAlign w:val="top"/>
          </w:tcPr>
          <w:p>
            <w:pPr>
              <w:jc w:val="left"/>
            </w:pPr>
            <w:r>
              <w:rPr>
                <w:sz w:val="21"/>
              </w:rPr>
              <w:t>1.项目验收合格后，乙方必须提供1年的免费软件维护服务。</w:t>
            </w:r>
          </w:p>
          <w:p>
            <w:pPr>
              <w:jc w:val="left"/>
            </w:pPr>
            <w:r>
              <w:rPr>
                <w:sz w:val="21"/>
              </w:rPr>
              <w:t>2.免费软件维护服务期内均提供免费上门维护、升级服务，对故障即时响应，系统故障或问题的响应时间为工作日半小时内响应，非工作日2小时内响应，2小时以内到达现场，8小时以内解决问题；服务响应为7*24小时。项目实施阶段，系统故障或问题的响应时间为即时响应，服务响应为7*24小时。</w:t>
            </w:r>
          </w:p>
        </w:tc>
      </w:tr>
    </w:tbl>
    <w:p/>
    <w:p>
      <w:r>
        <w:rPr>
          <w:b/>
          <w:sz w:val="24"/>
        </w:rPr>
        <w:t>四、</w:t>
      </w:r>
      <w:r>
        <w:rPr>
          <w:b/>
          <w:sz w:val="24"/>
        </w:rPr>
        <w:t>服务对照执行标准：</w:t>
      </w:r>
    </w:p>
    <w:p>
      <w:pPr>
        <w:ind w:firstLine="480"/>
      </w:pPr>
      <w:r>
        <w:rPr>
          <w:sz w:val="24"/>
        </w:rPr>
        <w:t>1.</w:t>
      </w:r>
      <w:r>
        <w:rPr>
          <w:sz w:val="24"/>
        </w:rPr>
        <w:t>符合中华人民共和国国家和履约地相关安全质量标准、行业技术规范标准；</w:t>
      </w:r>
    </w:p>
    <w:p>
      <w:pPr>
        <w:ind w:firstLine="480"/>
      </w:pPr>
      <w:r>
        <w:rPr>
          <w:sz w:val="24"/>
        </w:rPr>
        <w:t>2.</w:t>
      </w:r>
      <w:r>
        <w:rPr>
          <w:sz w:val="24"/>
        </w:rPr>
        <w:t>符合采购文件和响应承诺中各方共同认可的合理要求；</w:t>
      </w:r>
    </w:p>
    <w:p>
      <w:pPr>
        <w:ind w:firstLine="480"/>
      </w:pPr>
      <w:r>
        <w:rPr>
          <w:sz w:val="24"/>
        </w:rPr>
        <w:t>上述各类标准与法规必须是有关官方机构最新发布的现行标准版本。</w:t>
      </w:r>
    </w:p>
    <w:p>
      <w:r>
        <w:rPr>
          <w:b/>
          <w:sz w:val="24"/>
        </w:rPr>
        <w:t>五、</w:t>
      </w:r>
      <w:r>
        <w:rPr>
          <w:b/>
          <w:sz w:val="24"/>
        </w:rPr>
        <w:t>投诉跟踪服务要求：</w:t>
      </w:r>
    </w:p>
    <w:p>
      <w:pPr>
        <w:ind w:firstLine="480"/>
      </w:pPr>
      <w:r>
        <w:rPr>
          <w:sz w:val="24"/>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ind w:firstLine="480"/>
      </w:pPr>
      <w:r>
        <w:rPr>
          <w:sz w:val="24"/>
        </w:rPr>
        <w:t>2.</w:t>
      </w:r>
      <w:r>
        <w:rPr>
          <w:sz w:val="24"/>
        </w:rPr>
        <w:t>服务期内，甲方有权按本项目的管理要求对乙方进行不定期抽查检查，若对不合格的管理服务提出警告后，仍未得到有效解决时，甲方有权终止</w:t>
      </w:r>
      <w:r>
        <w:rPr>
          <w:sz w:val="24"/>
        </w:rPr>
        <w:t>服务</w:t>
      </w:r>
      <w:r>
        <w:rPr>
          <w:sz w:val="24"/>
        </w:rPr>
        <w:t>合同。</w:t>
      </w:r>
    </w:p>
    <w:p>
      <w:pPr>
        <w:ind w:firstLine="480"/>
      </w:pPr>
      <w:r>
        <w:rPr>
          <w:sz w:val="24"/>
        </w:rPr>
        <w:t>3.</w:t>
      </w:r>
      <w:r>
        <w:rPr>
          <w:sz w:val="24"/>
        </w:rPr>
        <w:t>乙方服务机构名称及地址：</w:t>
      </w:r>
      <w:r>
        <w:rPr/>
        <w:t xml:space="preserve"> </w:t>
      </w:r>
    </w:p>
    <w:p>
      <w:pPr>
        <w:ind w:firstLine="480"/>
      </w:pPr>
      <w:r>
        <w:rPr>
          <w:sz w:val="24"/>
        </w:rPr>
        <w:t>联系人</w:t>
      </w:r>
      <w:r>
        <w:rPr>
          <w:sz w:val="24"/>
        </w:rPr>
        <w:t>1</w:t>
      </w:r>
      <w:r>
        <w:rPr>
          <w:sz w:val="24"/>
        </w:rPr>
        <w:t>：          ，联系电话：            ，手机：          ；</w:t>
      </w:r>
    </w:p>
    <w:p>
      <w:pPr>
        <w:ind w:firstLine="480"/>
      </w:pPr>
      <w:r>
        <w:rPr>
          <w:sz w:val="24"/>
        </w:rPr>
        <w:t>联系人</w:t>
      </w:r>
      <w:r>
        <w:rPr>
          <w:sz w:val="24"/>
        </w:rPr>
        <w:t>2</w:t>
      </w:r>
      <w:r>
        <w:rPr>
          <w:sz w:val="24"/>
        </w:rPr>
        <w:t>：          ，联系电话：            ，手机：          ；</w:t>
      </w:r>
    </w:p>
    <w:p>
      <w:pPr>
        <w:ind w:firstLine="480"/>
      </w:pPr>
      <w:r>
        <w:rPr>
          <w:sz w:val="24"/>
        </w:rPr>
        <w:t>服务专线电话：</w:t>
      </w:r>
    </w:p>
    <w:p>
      <w:pPr>
        <w:ind w:firstLine="480"/>
      </w:pPr>
      <w:r>
        <w:rPr>
          <w:sz w:val="24"/>
        </w:rPr>
        <w:t>4.</w:t>
      </w:r>
      <w:r>
        <w:rPr>
          <w:sz w:val="24"/>
        </w:rPr>
        <w:t>其他服务要求：（补充内容不得对采购文件和投标</w:t>
      </w:r>
      <w:r>
        <w:rPr>
          <w:sz w:val="24"/>
        </w:rPr>
        <w:t>/</w:t>
      </w:r>
      <w:r>
        <w:rPr>
          <w:sz w:val="24"/>
        </w:rPr>
        <w:t>响应文件作实质性修改）</w:t>
      </w:r>
    </w:p>
    <w:p>
      <w:r>
        <w:rPr>
          <w:u w:val="single"/>
        </w:rPr>
        <w:t xml:space="preserve">                                                          </w:t>
      </w:r>
      <w:r>
        <w:rPr>
          <w:sz w:val="24"/>
        </w:rPr>
        <w:t>。</w:t>
      </w:r>
    </w:p>
    <w:p>
      <w:r>
        <w:rPr>
          <w:b/>
          <w:sz w:val="24"/>
        </w:rPr>
        <w:t>六、</w:t>
      </w:r>
      <w:r>
        <w:rPr>
          <w:b/>
          <w:sz w:val="24"/>
        </w:rPr>
        <w:t>验收要求：</w:t>
      </w:r>
    </w:p>
    <w:p>
      <w:pPr>
        <w:ind w:firstLine="480"/>
        <w:jc w:val="both"/>
      </w:pPr>
      <w:r>
        <w:rPr>
          <w:sz w:val="24"/>
        </w:rPr>
        <w:t>本项目的验收应符合中华人民共和国、广东省和</w:t>
      </w:r>
      <w:r>
        <w:rPr>
          <w:sz w:val="24"/>
        </w:rPr>
        <w:t>甲方</w:t>
      </w:r>
      <w:r>
        <w:rPr>
          <w:sz w:val="24"/>
        </w:rPr>
        <w:t>相关规定、行业技术规范标准，及相关验收管理办法的要求，同时应遵循下列标准：</w:t>
      </w:r>
    </w:p>
    <w:p>
      <w:pPr>
        <w:ind w:firstLine="480"/>
        <w:jc w:val="both"/>
      </w:pPr>
      <w:r>
        <w:rPr>
          <w:sz w:val="24"/>
        </w:rPr>
        <w:t>1.</w:t>
      </w:r>
      <w:r>
        <w:rPr>
          <w:sz w:val="24"/>
        </w:rPr>
        <w:t>本项目验收工作由项目验收小组来完成，具体成员和组织形式由</w:t>
      </w:r>
      <w:r>
        <w:rPr>
          <w:sz w:val="24"/>
        </w:rPr>
        <w:t>甲方</w:t>
      </w:r>
      <w:r>
        <w:rPr>
          <w:sz w:val="24"/>
        </w:rPr>
        <w:t>确定。项目验收要求如下：</w:t>
      </w:r>
      <w:r>
        <w:rPr>
          <w:sz w:val="24"/>
        </w:rPr>
        <w:t>甲方</w:t>
      </w:r>
      <w:r>
        <w:rPr>
          <w:sz w:val="24"/>
        </w:rPr>
        <w:t>将依照国家及行业有关信息化建设的相关规范，以</w:t>
      </w:r>
      <w:r>
        <w:rPr>
          <w:sz w:val="24"/>
        </w:rPr>
        <w:t>甲方</w:t>
      </w:r>
      <w:r>
        <w:rPr>
          <w:sz w:val="24"/>
        </w:rPr>
        <w:t>的招标文件、</w:t>
      </w:r>
      <w:r>
        <w:rPr>
          <w:sz w:val="24"/>
        </w:rPr>
        <w:t>乙方</w:t>
      </w:r>
      <w:r>
        <w:rPr>
          <w:sz w:val="24"/>
        </w:rPr>
        <w:t>编写的投标文件为验收标准和依据，组织有关单位对本项目进行验收。</w:t>
      </w:r>
    </w:p>
    <w:p>
      <w:pPr>
        <w:ind w:firstLine="480"/>
        <w:jc w:val="both"/>
      </w:pPr>
      <w:r>
        <w:rPr>
          <w:sz w:val="24"/>
        </w:rPr>
        <w:t>2</w:t>
      </w:r>
      <w:r>
        <w:rPr>
          <w:sz w:val="24"/>
        </w:rPr>
        <w:t>.</w:t>
      </w:r>
      <w:r>
        <w:rPr>
          <w:sz w:val="24"/>
        </w:rPr>
        <w:t>验收组织：</w:t>
      </w:r>
      <w:r>
        <w:rPr>
          <w:sz w:val="24"/>
        </w:rPr>
        <w:t>甲方</w:t>
      </w:r>
      <w:r>
        <w:rPr>
          <w:sz w:val="24"/>
        </w:rPr>
        <w:t>组成验收小组，负责对项目进行全面验收。</w:t>
      </w:r>
    </w:p>
    <w:p>
      <w:pPr>
        <w:ind w:firstLine="480"/>
        <w:jc w:val="both"/>
      </w:pPr>
      <w:r>
        <w:rPr>
          <w:sz w:val="24"/>
        </w:rPr>
        <w:t>3</w:t>
      </w:r>
      <w:r>
        <w:rPr>
          <w:sz w:val="24"/>
        </w:rPr>
        <w:t>.</w:t>
      </w:r>
      <w:r>
        <w:rPr>
          <w:sz w:val="24"/>
        </w:rPr>
        <w:t>验收过程：在软件系统开发、测试达到本项目规定的功能和技术要求，取得</w:t>
      </w:r>
      <w:r>
        <w:rPr>
          <w:sz w:val="24"/>
        </w:rPr>
        <w:t>甲方</w:t>
      </w:r>
      <w:r>
        <w:rPr>
          <w:sz w:val="24"/>
        </w:rPr>
        <w:t>同意后，</w:t>
      </w:r>
      <w:r>
        <w:rPr>
          <w:sz w:val="24"/>
        </w:rPr>
        <w:t>乙方</w:t>
      </w:r>
      <w:r>
        <w:rPr>
          <w:sz w:val="24"/>
        </w:rPr>
        <w:t>可以向</w:t>
      </w:r>
      <w:r>
        <w:rPr>
          <w:sz w:val="24"/>
        </w:rPr>
        <w:t>甲方</w:t>
      </w:r>
      <w:r>
        <w:rPr>
          <w:sz w:val="24"/>
        </w:rPr>
        <w:t>提出系统试运行申请。试运行结束后组织项目验收。</w:t>
      </w:r>
    </w:p>
    <w:p>
      <w:pPr>
        <w:ind w:firstLine="480"/>
        <w:jc w:val="both"/>
      </w:pPr>
      <w:r>
        <w:rPr>
          <w:sz w:val="24"/>
        </w:rPr>
        <w:t>4</w:t>
      </w:r>
      <w:r>
        <w:rPr>
          <w:sz w:val="24"/>
        </w:rPr>
        <w:t>.</w:t>
      </w:r>
      <w:r>
        <w:rPr>
          <w:sz w:val="24"/>
        </w:rPr>
        <w:t>验收要求</w:t>
      </w:r>
    </w:p>
    <w:p>
      <w:pPr>
        <w:ind w:firstLine="480"/>
        <w:jc w:val="both"/>
      </w:pPr>
      <w:r>
        <w:rPr>
          <w:sz w:val="24"/>
        </w:rPr>
        <w:t>（</w:t>
      </w:r>
      <w:r>
        <w:rPr>
          <w:sz w:val="24"/>
        </w:rPr>
        <w:t>1</w:t>
      </w:r>
      <w:r>
        <w:rPr>
          <w:sz w:val="24"/>
        </w:rPr>
        <w:t>）乙方</w:t>
      </w:r>
      <w:r>
        <w:rPr>
          <w:sz w:val="24"/>
        </w:rPr>
        <w:t>应负责在项目验收时将系统的全部有关产品说明书、安装手册、技术文件、资料、验收报告等文档交付</w:t>
      </w:r>
      <w:r>
        <w:rPr>
          <w:sz w:val="24"/>
        </w:rPr>
        <w:t>甲方</w:t>
      </w:r>
      <w:r>
        <w:rPr>
          <w:sz w:val="24"/>
        </w:rPr>
        <w:t>。</w:t>
      </w:r>
    </w:p>
    <w:p>
      <w:pPr>
        <w:ind w:firstLine="480"/>
        <w:jc w:val="both"/>
      </w:pPr>
      <w:r>
        <w:rPr>
          <w:sz w:val="24"/>
        </w:rPr>
        <w:t>（</w:t>
      </w:r>
      <w:r>
        <w:rPr>
          <w:sz w:val="24"/>
        </w:rPr>
        <w:t>2</w:t>
      </w:r>
      <w:r>
        <w:rPr>
          <w:sz w:val="24"/>
        </w:rPr>
        <w:t>）</w:t>
      </w:r>
      <w:r>
        <w:rPr>
          <w:sz w:val="24"/>
        </w:rPr>
        <w:t>项目验收由</w:t>
      </w:r>
      <w:r>
        <w:rPr>
          <w:sz w:val="24"/>
        </w:rPr>
        <w:t>甲方</w:t>
      </w:r>
      <w:r>
        <w:rPr>
          <w:sz w:val="24"/>
        </w:rPr>
        <w:t>组织相关人员、</w:t>
      </w:r>
      <w:r>
        <w:rPr>
          <w:sz w:val="24"/>
        </w:rPr>
        <w:t>乙方</w:t>
      </w:r>
      <w:r>
        <w:rPr>
          <w:sz w:val="24"/>
        </w:rPr>
        <w:t>共同进行。</w:t>
      </w:r>
    </w:p>
    <w:p>
      <w:pPr>
        <w:ind w:firstLine="480"/>
        <w:jc w:val="both"/>
      </w:pPr>
      <w:r>
        <w:rPr>
          <w:sz w:val="24"/>
        </w:rPr>
        <w:t>（</w:t>
      </w:r>
      <w:r>
        <w:rPr>
          <w:sz w:val="24"/>
        </w:rPr>
        <w:t>3</w:t>
      </w:r>
      <w:r>
        <w:rPr>
          <w:sz w:val="24"/>
        </w:rPr>
        <w:t>）</w:t>
      </w:r>
      <w:r>
        <w:rPr>
          <w:sz w:val="24"/>
        </w:rPr>
        <w:t>项目验收：本项目成果符合验收标准，且系统在试运行期间稳定运行，试运行结束后，</w:t>
      </w:r>
      <w:r>
        <w:rPr>
          <w:sz w:val="24"/>
        </w:rPr>
        <w:t>乙方</w:t>
      </w:r>
      <w:r>
        <w:rPr>
          <w:sz w:val="24"/>
        </w:rPr>
        <w:t>应以书面形式向</w:t>
      </w:r>
      <w:r>
        <w:rPr>
          <w:sz w:val="24"/>
        </w:rPr>
        <w:t>甲方</w:t>
      </w:r>
      <w:r>
        <w:rPr>
          <w:sz w:val="24"/>
        </w:rPr>
        <w:t>提出项目验收申请</w:t>
      </w:r>
      <w:r>
        <w:rPr>
          <w:sz w:val="24"/>
        </w:rPr>
        <w:t>,</w:t>
      </w:r>
      <w:r>
        <w:rPr>
          <w:sz w:val="24"/>
        </w:rPr>
        <w:t>甲方</w:t>
      </w:r>
      <w:r>
        <w:rPr>
          <w:sz w:val="24"/>
        </w:rPr>
        <w:t>应在收到该申请的</w:t>
      </w:r>
      <w:r>
        <w:rPr>
          <w:sz w:val="24"/>
        </w:rPr>
        <w:t>10个工作日内组织验收。</w:t>
      </w:r>
    </w:p>
    <w:p>
      <w:r>
        <w:rPr>
          <w:b/>
          <w:sz w:val="24"/>
        </w:rPr>
        <w:t>七、</w:t>
      </w:r>
      <w:r>
        <w:rPr>
          <w:b/>
          <w:sz w:val="24"/>
        </w:rPr>
        <w:t>知识产权和保密要求：</w:t>
      </w:r>
    </w:p>
    <w:p>
      <w:pPr>
        <w:ind w:firstLine="480"/>
      </w:pPr>
      <w:r>
        <w:rPr>
          <w:sz w:val="24"/>
        </w:rPr>
        <w:t>1.</w:t>
      </w:r>
      <w:r>
        <w:rPr>
          <w:sz w:val="24"/>
        </w:rPr>
        <w:t>乙方</w:t>
      </w:r>
      <w:r>
        <w:rPr>
          <w:sz w:val="24"/>
        </w:rPr>
        <w:t>必须保证，</w:t>
      </w:r>
      <w:r>
        <w:rPr>
          <w:sz w:val="24"/>
        </w:rPr>
        <w:t>甲方</w:t>
      </w:r>
      <w:r>
        <w:rPr>
          <w:sz w:val="24"/>
        </w:rPr>
        <w:t>在中华人民共和国境内使用投标货物、资料、技术、服务或其任何一部分时，享有不受限制的无偿使用权，如有第三方向</w:t>
      </w:r>
      <w:r>
        <w:rPr>
          <w:sz w:val="24"/>
        </w:rPr>
        <w:t>甲方</w:t>
      </w:r>
      <w:r>
        <w:rPr>
          <w:sz w:val="24"/>
        </w:rPr>
        <w:t>提出侵犯其专利权、商标权或其它知识产权的主张，该责任应由</w:t>
      </w:r>
      <w:r>
        <w:rPr>
          <w:sz w:val="24"/>
        </w:rPr>
        <w:t>乙方</w:t>
      </w:r>
      <w:r>
        <w:rPr>
          <w:sz w:val="24"/>
        </w:rPr>
        <w:t>承担。</w:t>
      </w:r>
    </w:p>
    <w:p>
      <w:pPr>
        <w:ind w:firstLine="480"/>
      </w:pPr>
      <w:r>
        <w:rPr>
          <w:sz w:val="24"/>
        </w:rPr>
        <w:t>2.</w:t>
      </w:r>
      <w:r>
        <w:rPr>
          <w:sz w:val="24"/>
        </w:rPr>
        <w:t>项目实施过程中，</w:t>
      </w:r>
      <w:r>
        <w:rPr>
          <w:sz w:val="24"/>
        </w:rPr>
        <w:t>乙方</w:t>
      </w:r>
      <w:r>
        <w:rPr>
          <w:sz w:val="24"/>
        </w:rPr>
        <w:t>对</w:t>
      </w:r>
      <w:r>
        <w:rPr>
          <w:sz w:val="24"/>
        </w:rPr>
        <w:t>甲方</w:t>
      </w:r>
      <w:r>
        <w:rPr>
          <w:sz w:val="24"/>
        </w:rPr>
        <w:t>所提供的所有相关资料、数据，未经</w:t>
      </w:r>
      <w:r>
        <w:rPr>
          <w:sz w:val="24"/>
        </w:rPr>
        <w:t>甲方</w:t>
      </w:r>
      <w:r>
        <w:rPr>
          <w:sz w:val="24"/>
        </w:rPr>
        <w:t>书面同意不得向任何第三人泄露，且保密责任不因合同的终止或解除而失效。</w:t>
      </w:r>
    </w:p>
    <w:p>
      <w:pPr>
        <w:ind w:firstLine="480"/>
      </w:pPr>
      <w:r>
        <w:rPr>
          <w:sz w:val="24"/>
        </w:rPr>
        <w:t>3.</w:t>
      </w:r>
      <w:r>
        <w:rPr>
          <w:sz w:val="24"/>
        </w:rPr>
        <w:t>乙方</w:t>
      </w:r>
      <w:r>
        <w:rPr>
          <w:sz w:val="24"/>
        </w:rPr>
        <w:t>对</w:t>
      </w:r>
      <w:r>
        <w:rPr>
          <w:sz w:val="24"/>
        </w:rPr>
        <w:t>甲方</w:t>
      </w:r>
      <w:r>
        <w:rPr>
          <w:sz w:val="24"/>
        </w:rPr>
        <w:t>提供的设施、设备、资料等要认真保管，妥善使用，并负有保密责任，不得以任何形式侵害</w:t>
      </w:r>
      <w:r>
        <w:rPr>
          <w:sz w:val="24"/>
        </w:rPr>
        <w:t>甲方</w:t>
      </w:r>
      <w:r>
        <w:rPr>
          <w:sz w:val="24"/>
        </w:rPr>
        <w:t>的合法权益，否则按有关法律法规处理。</w:t>
      </w:r>
    </w:p>
    <w:p>
      <w:pPr>
        <w:ind w:firstLine="480"/>
      </w:pPr>
      <w:r>
        <w:rPr>
          <w:sz w:val="24"/>
        </w:rPr>
        <w:t>4.</w:t>
      </w:r>
      <w:r>
        <w:rPr>
          <w:sz w:val="24"/>
        </w:rPr>
        <w:t>本条约定长期有效，不受本项目合同履行期限约束。</w:t>
      </w:r>
    </w:p>
    <w:p>
      <w:r>
        <w:rPr>
          <w:b/>
          <w:sz w:val="24"/>
        </w:rPr>
        <w:t>八、</w:t>
      </w:r>
      <w:r>
        <w:rPr>
          <w:b/>
          <w:sz w:val="24"/>
        </w:rPr>
        <w:t>违约责任：</w:t>
      </w:r>
    </w:p>
    <w:p>
      <w:pPr>
        <w:ind w:firstLine="482"/>
      </w:pPr>
      <w:r>
        <w:rPr>
          <w:b/>
          <w:sz w:val="24"/>
        </w:rPr>
        <w:t>1.</w:t>
      </w:r>
      <w:r>
        <w:rPr>
          <w:sz w:val="24"/>
        </w:rPr>
        <w:t>乙方未按要求履行合同义务时，须从违约之日起每日按合同总额的</w:t>
      </w:r>
      <w:r>
        <w:rPr>
          <w:sz w:val="24"/>
          <w:u w:val="single"/>
        </w:rPr>
        <w:t xml:space="preserve"> </w:t>
      </w:r>
      <w:r>
        <w:rPr>
          <w:sz w:val="24"/>
          <w:u w:val="single"/>
        </w:rPr>
        <w:t>5</w:t>
      </w:r>
      <w:r>
        <w:rPr>
          <w:sz w:val="24"/>
          <w:u w:val="single"/>
        </w:rPr>
        <w:t>‰</w:t>
      </w:r>
      <w:r>
        <w:rPr>
          <w:sz w:val="24"/>
        </w:rPr>
        <w:t>比例向甲方支付违约金；逾期</w:t>
      </w:r>
      <w:r>
        <w:rPr>
          <w:u w:val="single"/>
        </w:rPr>
        <w:t xml:space="preserve"> </w:t>
      </w:r>
      <w:r>
        <w:rPr>
          <w:sz w:val="24"/>
          <w:u w:val="single"/>
        </w:rPr>
        <w:t>30</w:t>
      </w:r>
      <w:r>
        <w:rPr>
          <w:u w:val="single"/>
        </w:rPr>
        <w:t xml:space="preserve"> </w:t>
      </w:r>
      <w:r>
        <w:rPr>
          <w:sz w:val="24"/>
        </w:rPr>
        <w:t>个</w:t>
      </w:r>
      <w:r>
        <w:rPr>
          <w:sz w:val="24"/>
        </w:rPr>
        <w:t>日</w:t>
      </w:r>
      <w:r>
        <w:rPr>
          <w:sz w:val="24"/>
        </w:rPr>
        <w:t>历天</w:t>
      </w:r>
      <w:r>
        <w:rPr>
          <w:sz w:val="24"/>
        </w:rPr>
        <w:t>以上时，甲方有权终止合同，由此造成甲方的经济损失由乙方承担。违约金不足以弥补损失的，乙方应按全额赔偿。</w:t>
      </w:r>
    </w:p>
    <w:p>
      <w:pPr>
        <w:ind w:firstLine="482"/>
      </w:pPr>
      <w:r>
        <w:rPr>
          <w:b/>
          <w:sz w:val="24"/>
        </w:rPr>
        <w:t>2.</w:t>
      </w:r>
      <w:r>
        <w:rPr>
          <w:sz w:val="24"/>
        </w:rPr>
        <w:t>甲方未按要求履行合同义务时，或无故拖延验收、付款时，甲方须向乙方支付滞纳金，标准为每日按逾期应付款总额的</w:t>
      </w:r>
      <w:r>
        <w:rPr>
          <w:sz w:val="24"/>
          <w:u w:val="single"/>
        </w:rPr>
        <w:t xml:space="preserve"> </w:t>
      </w:r>
      <w:r>
        <w:rPr>
          <w:sz w:val="24"/>
          <w:u w:val="single"/>
        </w:rPr>
        <w:t>3</w:t>
      </w:r>
      <w:r>
        <w:rPr>
          <w:sz w:val="24"/>
          <w:u w:val="single"/>
        </w:rPr>
        <w:t>‰</w:t>
      </w:r>
      <w:r>
        <w:rPr>
          <w:sz w:val="24"/>
        </w:rPr>
        <w:t>累计。</w:t>
      </w:r>
    </w:p>
    <w:p>
      <w:pPr>
        <w:ind w:firstLine="482"/>
      </w:pPr>
      <w:r>
        <w:rPr>
          <w:b/>
          <w:sz w:val="24"/>
        </w:rPr>
        <w:t>3.</w:t>
      </w:r>
      <w:r>
        <w:rPr>
          <w:sz w:val="24"/>
        </w:rPr>
        <w:t>其它违约责任按《中华人民共和国民法典》处理。</w:t>
      </w:r>
    </w:p>
    <w:p>
      <w:r>
        <w:rPr>
          <w:b/>
          <w:sz w:val="24"/>
        </w:rPr>
        <w:t>九、</w:t>
      </w:r>
      <w:r>
        <w:rPr>
          <w:b/>
          <w:sz w:val="24"/>
        </w:rPr>
        <w:t>提出异议的时间和方法：</w:t>
      </w:r>
    </w:p>
    <w:p>
      <w:pPr>
        <w:ind w:firstLine="482"/>
      </w:pPr>
      <w:r>
        <w:rPr>
          <w:b/>
          <w:sz w:val="24"/>
        </w:rPr>
        <w:t>1.</w:t>
      </w:r>
      <w:r>
        <w:rPr>
          <w:sz w:val="24"/>
        </w:rPr>
        <w:t>甲方有异议时，应</w:t>
      </w:r>
      <w:r>
        <w:rPr>
          <w:u w:val="single"/>
        </w:rPr>
        <w:t xml:space="preserve"> </w:t>
      </w:r>
      <w:r>
        <w:rPr>
          <w:sz w:val="24"/>
          <w:u w:val="single"/>
        </w:rPr>
        <w:t>7</w:t>
      </w:r>
      <w:r>
        <w:rPr>
          <w:u w:val="single"/>
        </w:rPr>
        <w:t xml:space="preserve"> </w:t>
      </w:r>
      <w:r>
        <w:rPr>
          <w:sz w:val="24"/>
        </w:rPr>
        <w:t>日历</w:t>
      </w:r>
      <w:r>
        <w:rPr>
          <w:sz w:val="24"/>
        </w:rPr>
        <w:t>天内向乙方提出书面异议。</w:t>
      </w:r>
    </w:p>
    <w:p>
      <w:pPr>
        <w:ind w:firstLine="482"/>
      </w:pPr>
      <w:r>
        <w:rPr>
          <w:b/>
          <w:sz w:val="24"/>
        </w:rPr>
        <w:t>2.</w:t>
      </w:r>
      <w:r>
        <w:rPr>
          <w:sz w:val="24"/>
        </w:rPr>
        <w:t>乙方在接到甲方书面异议后，应在</w:t>
      </w:r>
      <w:r>
        <w:rPr>
          <w:sz w:val="24"/>
        </w:rPr>
        <w:t>3</w:t>
      </w:r>
      <w:r>
        <w:rPr>
          <w:sz w:val="24"/>
        </w:rPr>
        <w:t>日历</w:t>
      </w:r>
      <w:r>
        <w:rPr>
          <w:sz w:val="24"/>
        </w:rPr>
        <w:t>天内负责处理并函复甲方处理情况，否则，即视为默认甲方提出的异议和处理意见。</w:t>
      </w:r>
    </w:p>
    <w:p>
      <w:pPr>
        <w:ind w:firstLine="482"/>
      </w:pPr>
      <w:r>
        <w:rPr>
          <w:b/>
          <w:sz w:val="24"/>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4"/>
        </w:rPr>
        <w:t>十、</w:t>
      </w:r>
      <w:r>
        <w:rPr>
          <w:b/>
          <w:sz w:val="24"/>
        </w:rPr>
        <w:t>争议的解决：</w:t>
      </w:r>
    </w:p>
    <w:p>
      <w:pPr>
        <w:ind w:firstLine="480"/>
      </w:pPr>
      <w:r>
        <w:rPr>
          <w:sz w:val="24"/>
        </w:rPr>
        <w:t>1.</w:t>
      </w:r>
      <w:r>
        <w:rPr>
          <w:sz w:val="24"/>
        </w:rPr>
        <w:t>合同履行过程中发生的任何争议，如双方未能通过友好协商解决，应向佛山市有管辖权的人民法院提起诉讼。</w:t>
      </w:r>
    </w:p>
    <w:p>
      <w:pPr>
        <w:ind w:firstLine="480"/>
      </w:pPr>
      <w:r>
        <w:rPr>
          <w:sz w:val="24"/>
        </w:rPr>
        <w:t>2.</w:t>
      </w:r>
      <w:r>
        <w:rPr>
          <w:sz w:val="24"/>
        </w:rPr>
        <w:t>法院审理期间，除提交法院审理的事项外，其它无争议的事项和条款仍应继续履行。</w:t>
      </w:r>
    </w:p>
    <w:p>
      <w:r>
        <w:rPr>
          <w:b/>
          <w:sz w:val="24"/>
        </w:rPr>
        <w:t>十一、</w:t>
      </w:r>
      <w:r>
        <w:rPr>
          <w:b/>
          <w:sz w:val="24"/>
        </w:rPr>
        <w:t>不可抗力：</w:t>
      </w:r>
    </w:p>
    <w:p>
      <w:pPr>
        <w:ind w:firstLine="42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r>
        <w:rPr>
          <w:b/>
          <w:sz w:val="24"/>
        </w:rPr>
        <w:t>十二、</w:t>
      </w:r>
      <w:r>
        <w:rPr>
          <w:b/>
          <w:sz w:val="24"/>
        </w:rPr>
        <w:t>税费：</w:t>
      </w:r>
    </w:p>
    <w:p>
      <w:pPr>
        <w:ind w:firstLine="480"/>
      </w:pPr>
      <w:r>
        <w:rPr>
          <w:sz w:val="24"/>
        </w:rPr>
        <w:t>1.</w:t>
      </w:r>
      <w:r>
        <w:rPr>
          <w:sz w:val="24"/>
        </w:rPr>
        <w:t>本合同实施过程中所发生的一切税费及不可预见费均由乙方承担。</w:t>
      </w:r>
    </w:p>
    <w:p>
      <w:pPr>
        <w:ind w:firstLine="480"/>
      </w:pPr>
      <w:r>
        <w:rPr>
          <w:sz w:val="24"/>
        </w:rPr>
        <w:t>2.</w:t>
      </w:r>
      <w:r>
        <w:rPr>
          <w:sz w:val="24"/>
        </w:rPr>
        <w:t>乙方依照税务规章优先在合同履约地开具发票及纳税，咨询：</w:t>
      </w:r>
      <w:r>
        <w:rPr>
          <w:sz w:val="24"/>
        </w:rPr>
        <w:t>0757-12366</w:t>
      </w:r>
      <w:r>
        <w:rPr>
          <w:sz w:val="24"/>
        </w:rPr>
        <w:t>。</w:t>
      </w:r>
    </w:p>
    <w:p>
      <w:r>
        <w:rPr>
          <w:b/>
          <w:sz w:val="24"/>
        </w:rPr>
        <w:t>十三、</w:t>
      </w:r>
      <w:r>
        <w:rPr>
          <w:b/>
          <w:sz w:val="24"/>
        </w:rPr>
        <w:t>合同生效与合同备案：</w:t>
      </w:r>
    </w:p>
    <w:p>
      <w:pPr>
        <w:ind w:firstLine="482"/>
      </w:pPr>
      <w:r>
        <w:rPr>
          <w:b/>
          <w:sz w:val="24"/>
        </w:rPr>
        <w:t>1.</w:t>
      </w:r>
      <w:r>
        <w:rPr>
          <w:sz w:val="24"/>
        </w:rPr>
        <w:t>本合同在甲乙双方法人代表或其授权代表签字盖章后生效。</w:t>
      </w:r>
    </w:p>
    <w:p>
      <w:pPr>
        <w:ind w:firstLine="482"/>
      </w:pPr>
      <w:r>
        <w:rPr>
          <w:b/>
          <w:sz w:val="24"/>
        </w:rPr>
        <w:t>2.</w:t>
      </w:r>
      <w:r>
        <w:rPr>
          <w:sz w:val="24"/>
        </w:rPr>
        <w:t>自采购合同签订之日起</w:t>
      </w:r>
      <w:r>
        <w:rPr>
          <w:sz w:val="24"/>
        </w:rPr>
        <w:t>7</w:t>
      </w:r>
      <w:r>
        <w:rPr>
          <w:sz w:val="24"/>
        </w:rPr>
        <w:t>个工作日内，由甲方按照有关规定将采购合同副本报同级人民政府财政部门（政府采购管理部门）备案。</w:t>
      </w:r>
    </w:p>
    <w:p>
      <w:r>
        <w:rPr>
          <w:b/>
          <w:sz w:val="24"/>
        </w:rPr>
        <w:t>十四、</w:t>
      </w:r>
      <w:r>
        <w:rPr>
          <w:b/>
          <w:sz w:val="24"/>
        </w:rPr>
        <w:t>乙方应提供的资料内容：</w:t>
      </w:r>
    </w:p>
    <w:p>
      <w:r>
        <w:rPr>
          <w:u w:val="single"/>
        </w:rPr>
        <w:t xml:space="preserve">                                          </w:t>
      </w:r>
      <w:r>
        <w:rPr>
          <w:u w:val="single"/>
        </w:rPr>
        <w:t xml:space="preserve">      </w:t>
      </w:r>
      <w:r>
        <w:rPr>
          <w:u w:val="single"/>
        </w:rPr>
        <w:t xml:space="preserve">            </w:t>
      </w:r>
      <w:r>
        <w:rPr>
          <w:sz w:val="24"/>
        </w:rPr>
        <w:t>。</w:t>
      </w:r>
    </w:p>
    <w:p>
      <w:r>
        <w:rPr>
          <w:b/>
          <w:sz w:val="24"/>
        </w:rPr>
        <w:t>十五、</w:t>
      </w:r>
      <w:r>
        <w:rPr>
          <w:b/>
          <w:sz w:val="24"/>
        </w:rPr>
        <w:t>关于政府采购合同融资</w:t>
      </w:r>
    </w:p>
    <w:p>
      <w:pPr>
        <w:ind w:firstLine="482"/>
      </w:pPr>
      <w:r>
        <w:rPr>
          <w:b/>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否  </w:t>
      </w:r>
      <w:r>
        <w:rPr>
          <w:sz w:val="24"/>
        </w:rPr>
        <w:t>；</w:t>
      </w:r>
    </w:p>
    <w:p>
      <w:pPr>
        <w:ind w:firstLine="482"/>
      </w:pPr>
      <w:r>
        <w:rPr>
          <w:b/>
          <w:sz w:val="24"/>
        </w:rPr>
        <w:t>2.</w:t>
      </w:r>
      <w:r>
        <w:rPr>
          <w:sz w:val="24"/>
        </w:rPr>
        <w:t>融资银行及联系方式：</w:t>
      </w:r>
      <w:r>
        <w:rPr>
          <w:u w:val="single"/>
        </w:rPr>
        <w:t xml:space="preserve">                         </w:t>
      </w:r>
      <w:r>
        <w:rPr>
          <w:u w:val="single"/>
        </w:rPr>
        <w:t xml:space="preserve">           </w:t>
      </w:r>
      <w:r>
        <w:rPr>
          <w:u w:val="single"/>
        </w:rPr>
        <w:t xml:space="preserve">        </w:t>
      </w:r>
      <w:r>
        <w:rPr>
          <w:sz w:val="24"/>
        </w:rPr>
        <w:t>。</w:t>
      </w:r>
    </w:p>
    <w:p>
      <w:pPr>
        <w:ind w:firstLine="482"/>
      </w:pPr>
      <w:r>
        <w:rPr>
          <w:b/>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4"/>
        </w:rPr>
        <w:t>。</w:t>
      </w:r>
    </w:p>
    <w:p>
      <w:r>
        <w:rPr>
          <w:b/>
          <w:sz w:val="24"/>
        </w:rPr>
        <w:t>十六、</w:t>
      </w:r>
      <w:r>
        <w:rPr>
          <w:b/>
          <w:sz w:val="24"/>
        </w:rPr>
        <w:t>其它：</w:t>
      </w:r>
    </w:p>
    <w:p>
      <w:pPr>
        <w:ind w:firstLine="482"/>
      </w:pPr>
      <w:r>
        <w:rPr>
          <w:b/>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82"/>
      </w:pPr>
      <w:r>
        <w:rPr>
          <w:b/>
          <w:sz w:val="24"/>
        </w:rPr>
        <w:t>2.</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ind w:firstLine="482"/>
      </w:pPr>
      <w:r>
        <w:rPr>
          <w:b/>
          <w:sz w:val="24"/>
        </w:rPr>
        <w:t>3.</w:t>
      </w:r>
      <w:r>
        <w:rPr>
          <w:sz w:val="24"/>
        </w:rPr>
        <w:t>未经甲方书面同意，乙方不得擅自向第三方转让其主体性和关键性合同义务。</w:t>
      </w:r>
    </w:p>
    <w:p>
      <w:pPr>
        <w:ind w:firstLine="482"/>
      </w:pPr>
      <w:r>
        <w:rPr>
          <w:b/>
          <w:sz w:val="24"/>
        </w:rPr>
        <w:t>4.</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pPr>
        <w:ind w:firstLine="482"/>
      </w:pPr>
      <w:r>
        <w:rPr>
          <w:b/>
          <w:sz w:val="24"/>
        </w:rPr>
        <w:t>5.</w:t>
      </w:r>
      <w:r>
        <w:rPr>
          <w:sz w:val="24"/>
        </w:rPr>
        <w:t>本合同（含附件）共计</w:t>
      </w:r>
      <w:r>
        <w:rPr>
          <w:u w:val="single"/>
        </w:rPr>
        <w:t xml:space="preserve">    </w:t>
      </w:r>
      <w:r>
        <w:rPr>
          <w:sz w:val="24"/>
        </w:rPr>
        <w:t>页，缺页之合同为无效合同。</w:t>
      </w:r>
    </w:p>
    <w:p>
      <w:pPr>
        <w:ind w:firstLine="482"/>
      </w:pPr>
      <w:r>
        <w:rPr>
          <w:b/>
          <w:sz w:val="24"/>
        </w:rPr>
        <w:t>6.</w:t>
      </w:r>
      <w:r>
        <w:rPr>
          <w:sz w:val="24"/>
        </w:rPr>
        <w:t>本合同签约履约地点：广东省佛山市。</w:t>
      </w:r>
    </w:p>
    <w:p>
      <w:pPr>
        <w:ind w:firstLine="482"/>
      </w:pPr>
      <w:r>
        <w:rPr>
          <w:b/>
          <w:sz w:val="24"/>
        </w:rPr>
        <w:t>7.</w:t>
      </w:r>
      <w:r>
        <w:rPr>
          <w:sz w:val="24"/>
        </w:rPr>
        <w:t>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pPr>
        <w:ind w:firstLine="482"/>
      </w:pPr>
      <w:r>
        <w:rPr>
          <w:b/>
          <w:sz w:val="24"/>
        </w:rPr>
        <w:t>8.</w:t>
      </w:r>
      <w:r>
        <w:rPr>
          <w:sz w:val="24"/>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3930"/>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r>
              <w:rPr>
                <w:b/>
                <w:sz w:val="21"/>
              </w:rPr>
              <w:t>合同鉴证单位：广东信诚招标代理咨询有限公司（盖公章）</w:t>
            </w:r>
          </w:p>
          <w:p>
            <w:r>
              <w:rPr>
                <w:sz w:val="21"/>
              </w:rPr>
              <w:t>合同鉴证意见：本合同条款与招标文件、中标的投标文件相符。</w:t>
            </w:r>
          </w:p>
          <w:p>
            <w:r>
              <w:rPr>
                <w:sz w:val="21"/>
              </w:rPr>
              <w:t>经办人（签名）：</w:t>
            </w:r>
          </w:p>
          <w:p>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073"/>
            <w:gridSpan w:val="2"/>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19"/>
              </w:rPr>
              <w:t xml:space="preserve"> </w:t>
            </w:r>
            <w:r>
              <w:rPr>
                <w:sz w:val="21"/>
              </w:rPr>
              <w:t>户</w:t>
            </w:r>
            <w:r>
              <w:rPr>
                <w:sz w:val="19"/>
              </w:rPr>
              <w:t xml:space="preserve"> </w:t>
            </w:r>
            <w:r>
              <w:rPr>
                <w:sz w:val="21"/>
              </w:rPr>
              <w:t>行：</w:t>
            </w:r>
          </w:p>
        </w:tc>
      </w:tr>
    </w:tbl>
    <w:p/>
    <w:p/>
    <w:p>
      <w:r>
        <w:rPr>
          <w:b/>
          <w:sz w:val="24"/>
        </w:rPr>
        <w:t>合同附件清单：</w:t>
      </w:r>
    </w:p>
    <w:p>
      <w:pPr>
        <w:jc w:val="both"/>
      </w:pPr>
      <w:r>
        <w:rPr>
          <w:b/>
          <w:sz w:val="21"/>
        </w:rPr>
        <w:t>附件一、《分项报价表》</w:t>
      </w:r>
    </w:p>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440605-2022-09748</w:t>
      </w:r>
    </w:p>
    <w:p>
      <w:pPr>
        <w:jc w:val="center"/>
      </w:pPr>
      <w:r>
        <w:rPr>
          <w:b/>
          <w:sz w:val="24"/>
        </w:rPr>
        <w:t>采购项目编号：</w:t>
      </w:r>
      <w:r>
        <w:rPr>
          <w:b/>
          <w:sz w:val="24"/>
        </w:rPr>
        <w:t>FS2022（NH01）XZ0062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广东信诚招标代理咨询有限公司</w:t>
      </w:r>
    </w:p>
    <w:p>
      <w:pPr>
        <w:ind w:firstLine="480"/>
      </w:pPr>
      <w:r>
        <w:rPr/>
        <w:t>你方组织的</w:t>
      </w:r>
      <w:r>
        <w:rPr>
          <w:u w:val="single"/>
        </w:rPr>
        <w:t>广东省人民医院南海医院（平洲医院）心血管病大楼建设项目2022年度信息化建设子项目-CIS系统</w:t>
      </w:r>
      <w:r>
        <w:rPr/>
        <w:t>项目的招标[采购项目编号为：</w:t>
      </w:r>
      <w:r>
        <w:rPr>
          <w:u w:val="single"/>
        </w:rPr>
        <w:t>FS2022（NH01）XZ0062</w:t>
      </w:r>
      <w:r>
        <w:rPr/>
        <w:t>]，我方愿参与投标。</w:t>
      </w:r>
    </w:p>
    <w:p>
      <w:pPr>
        <w:ind w:firstLine="480"/>
      </w:pPr>
      <w:r>
        <w:rPr/>
        <w:t>我方确认收到贵方提供的</w:t>
      </w:r>
      <w:r>
        <w:rPr>
          <w:u w:val="single"/>
        </w:rPr>
        <w:t>广东省人民医院南海医院（平洲医院）心血管病大楼建设项目2022年度信息化建设子项目-CIS系统</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广东信诚招标代理咨询有限公司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广东省人民医院南海医院（平洲医院）心血管病大楼建设项目2022年度信息化建设子项目-CIS系统</w:t>
      </w:r>
      <w:r>
        <w:rPr/>
        <w:t>项目采购[采购项目编号为</w:t>
      </w:r>
      <w:r>
        <w:rPr/>
        <w:t>FS2022（NH01）XZ0062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广东省人民医院南海医院（佛山市南海区第二人民医院）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广东信诚招标代理咨询有限公司</w:t>
      </w:r>
    </w:p>
    <w:p>
      <w:pPr>
        <w:ind w:firstLine="480"/>
      </w:pPr>
      <w:r>
        <w:rPr/>
        <w:t>如果我方在贵采购代理机构组织的</w:t>
      </w:r>
      <w:r>
        <w:rPr/>
        <w:t>广东省人民医院南海医院（平洲医院）心血管病大楼建设项目2022年度信息化建设子项目-CIS系统</w:t>
      </w:r>
      <w:r>
        <w:rPr/>
        <w:t>招标中获中标（采购项目编号：</w:t>
      </w:r>
      <w:r>
        <w:rPr/>
        <w:t>FS2022（NH01）XZ0062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广东信诚招标代理咨询有限公司</w:t>
      </w:r>
    </w:p>
    <w:p>
      <w:pPr>
        <w:ind w:firstLine="480"/>
      </w:pPr>
      <w:r>
        <w:rPr/>
        <w:t>我单位已登记并准备参与</w:t>
      </w:r>
      <w:r>
        <w:rPr/>
        <w:t>广东省人民医院南海医院（平洲医院）心血管病大楼建设项目2022年度信息化建设子项目-CIS系统</w:t>
      </w:r>
      <w:r>
        <w:rPr/>
        <w:t>项目（采购项目编号：</w:t>
      </w:r>
      <w:r>
        <w:rPr/>
        <w:t>FS2022（NH01）XZ0062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