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440605-2026-01172</w:t>
      </w:r>
    </w:p>
    <w:p>
      <w:pPr>
        <w:pStyle w:val="null3"/>
        <w:jc w:val="center"/>
        <w:outlineLvl w:val="3"/>
      </w:pPr>
      <w:r>
        <w:rPr>
          <w:sz w:val="24"/>
          <w:b/>
        </w:rPr>
        <w:t>采购项目编号：</w:t>
      </w:r>
      <w:r>
        <w:rPr>
          <w:sz w:val="24"/>
          <w:b/>
        </w:rPr>
        <w:t>沥采2026006</w:t>
      </w:r>
    </w:p>
    <w:p>
      <w:pPr>
        <w:pStyle w:val="null3"/>
        <w:jc w:val="center"/>
        <w:outlineLvl w:val="3"/>
      </w:pPr>
      <w:r>
        <w:rPr>
          <w:sz w:val="24"/>
          <w:b/>
        </w:rPr>
        <w:t>项目名称：</w:t>
      </w:r>
      <w:r>
        <w:rPr>
          <w:sz w:val="24"/>
          <w:b/>
        </w:rPr>
        <w:t>新一代可信智慧医工协同中枢系统建设</w:t>
      </w:r>
    </w:p>
    <w:p>
      <w:pPr>
        <w:pStyle w:val="null3"/>
        <w:jc w:val="center"/>
        <w:outlineLvl w:val="3"/>
      </w:pPr>
      <w:r>
        <w:rPr>
          <w:sz w:val="24"/>
          <w:b/>
        </w:rPr>
        <w:t>采购人：</w:t>
      </w:r>
      <w:r>
        <w:rPr>
          <w:sz w:val="24"/>
          <w:b/>
        </w:rPr>
        <w:t>佛山大学附属第三医院</w:t>
      </w:r>
    </w:p>
    <w:p>
      <w:pPr>
        <w:pStyle w:val="null3"/>
        <w:jc w:val="center"/>
        <w:outlineLvl w:val="3"/>
      </w:pPr>
      <w:r>
        <w:rPr>
          <w:sz w:val="24"/>
          <w:b/>
        </w:rPr>
        <w:t>采购代理机构：</w:t>
      </w:r>
      <w:r>
        <w:rPr>
          <w:sz w:val="24"/>
          <w:b/>
        </w:rPr>
        <w:t>广东信诚招标代理咨询有限公司佛山分公司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广东信诚招标代理咨询有限公司佛山分公司</w:t>
      </w:r>
      <w:r>
        <w:rPr/>
        <w:t>受</w:t>
      </w:r>
      <w:r>
        <w:rPr/>
        <w:t>佛山大学附属第三医院</w:t>
      </w:r>
      <w:r>
        <w:rPr/>
        <w:t>的委托，采用</w:t>
      </w:r>
      <w:r>
        <w:rPr/>
        <w:t>公开招标</w:t>
      </w:r>
      <w:r>
        <w:rPr/>
        <w:t>方式组织采购</w:t>
      </w:r>
      <w:r>
        <w:rPr/>
        <w:t>新一代可信智慧医工协同中枢系统建设</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新一代可信智慧医工协同中枢系统建设</w:t>
      </w:r>
    </w:p>
    <w:p>
      <w:pPr>
        <w:pStyle w:val="null3"/>
        <w:ind w:firstLine="480"/>
      </w:pPr>
      <w:r>
        <w:rPr/>
        <w:t>采购计划编号：</w:t>
      </w:r>
      <w:r>
        <w:rPr/>
        <w:t>440605-2026-01172</w:t>
      </w:r>
    </w:p>
    <w:p>
      <w:pPr>
        <w:pStyle w:val="null3"/>
        <w:ind w:firstLine="480"/>
      </w:pPr>
      <w:r>
        <w:rPr/>
        <w:t>采购项目编号：</w:t>
      </w:r>
      <w:r>
        <w:rPr/>
        <w:t>沥采2026006</w:t>
      </w:r>
    </w:p>
    <w:p>
      <w:pPr>
        <w:pStyle w:val="null3"/>
        <w:ind w:firstLine="480"/>
      </w:pPr>
      <w:r>
        <w:rPr/>
        <w:t>采购方式：</w:t>
      </w:r>
      <w:r>
        <w:rPr/>
        <w:t>公开招标</w:t>
      </w:r>
    </w:p>
    <w:p>
      <w:pPr>
        <w:pStyle w:val="null3"/>
        <w:ind w:firstLine="480"/>
      </w:pPr>
      <w:r>
        <w:rPr/>
        <w:t>预算金额：</w:t>
      </w:r>
      <w:r>
        <w:rPr/>
        <w:t>11,000,000.00</w:t>
      </w:r>
      <w:r>
        <w:rPr/>
        <w:t>元</w:t>
      </w:r>
    </w:p>
    <w:p>
      <w:pPr>
        <w:pStyle w:val="null3"/>
        <w:outlineLvl w:val="3"/>
      </w:pPr>
      <w:r>
        <w:rPr>
          <w:sz w:val="24"/>
          <w:b/>
        </w:rPr>
        <w:t>2.项目内容及需求情况（采购项目技术规格、参数及要求）</w:t>
      </w:r>
    </w:p>
    <w:p>
      <w:pPr>
        <w:pStyle w:val="null3"/>
      </w:pPr>
      <w:r>
        <w:rPr/>
        <w:t>采购包1(新一代可信智慧医工协同中枢系统建设):</w:t>
      </w:r>
    </w:p>
    <w:p>
      <w:pPr>
        <w:pStyle w:val="null3"/>
      </w:pPr>
      <w:r>
        <w:rPr/>
        <w:t>采购包预算金额：11,000,000.00元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新一代可信智慧医工协同中枢系统建设</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12个月内系统开发、部署、调试完毕并交付上线运行。系统上线稳定运行一个月且满足系统整体可用性不低于99.5%后采购人通过初步验收。系统运维服务期一年，自初步验收合格之日起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1）具有独立承担民事责任的能力：在中华人民共和国境内注册的法人或其他组织或自然人，投标（响应）时提交有效的营业执照（或事业法人登记证或身份证等相关证明）副本扫描件；</w:t>
      </w:r>
    </w:p>
    <w:p>
      <w:pPr>
        <w:pStyle w:val="null3"/>
      </w:pPr>
      <w:r>
        <w:rPr/>
        <w:t>2）有依法缴纳税收和社会保障资金的良好记录：投标人提供加盖投标人公章的《政府采购供应商资格信用承诺函》（详见招标公告附件）或提供以下资料：提供投标截止日前12个月内任意1个月依法缴纳税收和社会保障资金的相关材料。如依法免税或不需要缴纳社会保障资金的，提供相应证明材料；</w:t>
      </w:r>
    </w:p>
    <w:p>
      <w:pPr>
        <w:pStyle w:val="null3"/>
      </w:pPr>
      <w:r>
        <w:rPr/>
        <w:t>3）具有良好的商业信誉和健全的财务会计制度：投标人提供加盖投标人公章的《政府采购供应商资格信用承诺函》（详见招标公告附件）或提供以下资料：提供2024或2025年度经审计的财务状况报告或基本开户行出具的资信证明或财政部门认可的政府采购专业担保机构出具的担保函,成立不足一年的单位可以提供投标截止前上一季度或月份财务会计报表；</w:t>
      </w:r>
    </w:p>
    <w:p>
      <w:pPr>
        <w:pStyle w:val="null3"/>
      </w:pPr>
      <w:r>
        <w:rPr/>
        <w:t>4）履行合同所必需的设备和专业技术能力：按投标文件格式填报设备及专业技术能力情况；</w:t>
      </w:r>
    </w:p>
    <w:p>
      <w:pPr>
        <w:pStyle w:val="null3"/>
      </w:pPr>
      <w:r>
        <w:rPr/>
        <w:t>5）参加采购活动前3年内，在经营活动中没有重大违法记录：参照投标函相关承诺格式内容或提供《政府采购供应商资格信用承诺函》（详见招标公告附件）并加盖投标人公章。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认定为200万元以上的罚款，法律、行政法规以及国务院有关部门明确规定相关领域“较大数额罚款”标准高于200万元的，从其规定。）；6）法律、行政法规规定的其他条件。</w:t>
      </w:r>
    </w:p>
    <w:p>
      <w:pPr>
        <w:pStyle w:val="null3"/>
        <w:outlineLvl w:val="3"/>
      </w:pPr>
      <w:r>
        <w:rPr>
          <w:sz w:val="24"/>
          <w:b/>
        </w:rPr>
        <w:t>2.落实政府采购政策需满足的资格要求：</w:t>
      </w:r>
    </w:p>
    <w:p>
      <w:pPr>
        <w:pStyle w:val="null3"/>
        <w:jc w:val="left"/>
      </w:pPr>
      <w:r>
        <w:rPr/>
        <w:t>采购包1（新一代可信智慧医工协同中枢系统建设）：</w:t>
      </w:r>
      <w:r>
        <w:rPr/>
        <w:t>本项目属于专门面向中小企业采购，中小企业以供应商填写的《中小企业声明函(工程、服务)》（见招标文件格式）为判定标准，残疾人福利性单位以供应商提供的《残疾人福利性单位声明函》(见招标文件格式)为判定标准，监狱企业须供应商提供由省级以上监狱管理局、戒毒管理局(含新疆生产建设兵团)出具的属于监狱企业的证明文件。本项目的中小企业划分标准所属行业为：软件和信息技术服务业。</w:t>
      </w:r>
    </w:p>
    <w:p>
      <w:pPr>
        <w:pStyle w:val="null3"/>
        <w:outlineLvl w:val="3"/>
      </w:pPr>
      <w:r>
        <w:rPr>
          <w:sz w:val="24"/>
          <w:b/>
        </w:rPr>
        <w:t>3.本项目特定的资格要求：</w:t>
      </w:r>
    </w:p>
    <w:p>
      <w:pPr>
        <w:pStyle w:val="null3"/>
      </w:pPr>
      <w:r>
        <w:rPr/>
        <w:t>采购包1（新一代可信智慧医工协同中枢系统建设）：</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广东省公共资源交易平台（https://ygp.gdzwfw.gov.cn/ggzy-portal/#/440600/index），佛山市南海区人民政府网（http://www.nanhai.gov.cn/），广东信诚招标代理咨询有限公司（http://www.gdxczb.cn/）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佛山大学附属第三医院</w:t>
      </w:r>
    </w:p>
    <w:p>
      <w:pPr>
        <w:pStyle w:val="null3"/>
        <w:ind w:firstLine="480"/>
      </w:pPr>
      <w:r>
        <w:rPr/>
        <w:t xml:space="preserve"> 地址：</w:t>
      </w:r>
      <w:r>
        <w:rPr/>
        <w:t>佛山市南海区大沥镇钟边路63号</w:t>
      </w:r>
    </w:p>
    <w:p>
      <w:pPr>
        <w:pStyle w:val="null3"/>
        <w:ind w:firstLine="480"/>
      </w:pPr>
      <w:r>
        <w:rPr/>
        <w:t xml:space="preserve"> 联系方式：</w:t>
      </w:r>
      <w:r>
        <w:rPr/>
        <w:t>0757-85919986</w:t>
      </w:r>
    </w:p>
    <w:p>
      <w:pPr>
        <w:pStyle w:val="null3"/>
        <w:outlineLvl w:val="3"/>
      </w:pPr>
      <w:r>
        <w:rPr>
          <w:sz w:val="24"/>
          <w:b/>
        </w:rPr>
        <w:t xml:space="preserve"> 2.采购代理机构信息</w:t>
      </w:r>
    </w:p>
    <w:p>
      <w:pPr>
        <w:pStyle w:val="null3"/>
        <w:ind w:firstLine="480"/>
      </w:pPr>
      <w:r>
        <w:rPr/>
        <w:t xml:space="preserve"> 名称：</w:t>
      </w:r>
      <w:r>
        <w:rPr/>
        <w:t>广东信诚招标代理咨询有限公司佛山分公司</w:t>
      </w:r>
    </w:p>
    <w:p>
      <w:pPr>
        <w:pStyle w:val="null3"/>
        <w:ind w:firstLine="480"/>
      </w:pPr>
      <w:r>
        <w:rPr/>
        <w:t xml:space="preserve"> 地址：</w:t>
      </w:r>
      <w:r>
        <w:rPr/>
        <w:t>广东省佛山市南海区大沥镇广佛公路平地段38号万成广场A座2008室</w:t>
      </w:r>
    </w:p>
    <w:p>
      <w:pPr>
        <w:pStyle w:val="null3"/>
        <w:ind w:firstLine="480"/>
      </w:pPr>
      <w:r>
        <w:rPr/>
        <w:t xml:space="preserve"> 联系方式：</w:t>
      </w:r>
      <w:r>
        <w:rPr/>
        <w:t>0757-85753190</w:t>
      </w:r>
    </w:p>
    <w:p>
      <w:pPr>
        <w:pStyle w:val="null3"/>
        <w:outlineLvl w:val="3"/>
      </w:pPr>
      <w:r>
        <w:rPr>
          <w:sz w:val="24"/>
          <w:b/>
        </w:rPr>
        <w:t xml:space="preserve"> 3.项目联系方式</w:t>
      </w:r>
    </w:p>
    <w:p>
      <w:pPr>
        <w:pStyle w:val="null3"/>
        <w:ind w:firstLine="480"/>
      </w:pPr>
      <w:r>
        <w:rPr/>
        <w:t xml:space="preserve"> 项目联系人：</w:t>
      </w:r>
      <w:r>
        <w:rPr/>
        <w:t>简小姐</w:t>
      </w:r>
    </w:p>
    <w:p>
      <w:pPr>
        <w:pStyle w:val="null3"/>
        <w:ind w:firstLine="480"/>
      </w:pPr>
      <w:r>
        <w:rPr/>
        <w:t xml:space="preserve"> 电话：</w:t>
      </w:r>
      <w:r>
        <w:rPr/>
        <w:t>0757-85753190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广东信诚招标代理咨询有限公司佛山分公司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1626"/>
        <w:gridCol w:w="729"/>
        <w:gridCol w:w="1525"/>
        <w:gridCol w:w="1410"/>
        <w:gridCol w:w="2047"/>
        <w:gridCol w:w="965"/>
      </w:tblGrid>
      <w:tr>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采购内容</w:t>
            </w:r>
          </w:p>
        </w:tc>
        <w:tc>
          <w:tcPr>
            <w:tcW w:type="dxa" w:w="7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w:t>
            </w:r>
          </w:p>
        </w:tc>
        <w:tc>
          <w:tcPr>
            <w:tcW w:type="dxa" w:w="1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w:t>
            </w:r>
          </w:p>
          <w:p>
            <w:pPr>
              <w:pStyle w:val="null3"/>
              <w:jc w:val="center"/>
            </w:pPr>
            <w:r>
              <w:rPr>
                <w:sz w:val="24"/>
                <w:b/>
              </w:rPr>
              <w:t>（人民币：元）</w:t>
            </w:r>
          </w:p>
        </w:tc>
        <w:tc>
          <w:tcPr>
            <w:tcW w:type="dxa" w:w="1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最高限价</w:t>
            </w:r>
          </w:p>
          <w:p>
            <w:pPr>
              <w:pStyle w:val="null3"/>
              <w:jc w:val="center"/>
            </w:pPr>
            <w:r>
              <w:rPr>
                <w:sz w:val="24"/>
                <w:b/>
              </w:rPr>
              <w:t>（人民币：元）</w:t>
            </w:r>
          </w:p>
        </w:tc>
        <w:tc>
          <w:tcPr>
            <w:tcW w:type="dxa" w:w="2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合同履行期限</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p>
            <w:pPr>
              <w:pStyle w:val="null3"/>
              <w:jc w:val="center"/>
            </w:pPr>
            <w:r>
              <w:rPr>
                <w:sz w:val="24"/>
                <w:b/>
              </w:rPr>
              <w:t>类型</w:t>
            </w:r>
          </w:p>
        </w:tc>
      </w:tr>
      <w:tr>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新一代可信智慧医工协同中枢系统建设</w:t>
            </w:r>
          </w:p>
        </w:tc>
        <w:tc>
          <w:tcPr>
            <w:tcW w:type="dxa" w:w="7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1（项）</w:t>
            </w:r>
          </w:p>
        </w:tc>
        <w:tc>
          <w:tcPr>
            <w:tcW w:type="dxa" w:w="1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11,000,000.00</w:t>
            </w:r>
          </w:p>
        </w:tc>
        <w:tc>
          <w:tcPr>
            <w:tcW w:type="dxa" w:w="1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r>
              <w:rPr>
                <w:sz w:val="24"/>
              </w:rPr>
              <w:t>,</w:t>
            </w:r>
            <w:r>
              <w:rPr>
                <w:sz w:val="24"/>
              </w:rPr>
              <w:t>85</w:t>
            </w:r>
            <w:r>
              <w:rPr>
                <w:sz w:val="24"/>
              </w:rPr>
              <w:t>0,000.00</w:t>
            </w:r>
          </w:p>
        </w:tc>
        <w:tc>
          <w:tcPr>
            <w:tcW w:type="dxa" w:w="2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自签订合同之日起12个月内系统开发</w:t>
            </w:r>
            <w:r>
              <w:rPr>
                <w:sz w:val="24"/>
                <w:color w:val="000000"/>
              </w:rPr>
              <w:t>、</w:t>
            </w:r>
            <w:r>
              <w:rPr>
                <w:sz w:val="24"/>
                <w:color w:val="000000"/>
              </w:rPr>
              <w:t>部署</w:t>
            </w:r>
            <w:r>
              <w:rPr>
                <w:sz w:val="24"/>
                <w:color w:val="000000"/>
              </w:rPr>
              <w:t>、</w:t>
            </w:r>
            <w:r>
              <w:rPr>
                <w:sz w:val="24"/>
                <w:color w:val="000000"/>
              </w:rPr>
              <w:t>调试完毕并</w:t>
            </w:r>
            <w:r>
              <w:rPr>
                <w:sz w:val="24"/>
                <w:color w:val="000000"/>
              </w:rPr>
              <w:t>交付上线运行</w:t>
            </w:r>
            <w:r>
              <w:rPr>
                <w:sz w:val="24"/>
                <w:color w:val="000000"/>
              </w:rPr>
              <w:t>。</w:t>
            </w:r>
            <w:r>
              <w:rPr>
                <w:sz w:val="24"/>
                <w:color w:val="000000"/>
              </w:rPr>
              <w:t>系统上线稳定运行</w:t>
            </w:r>
            <w:r>
              <w:rPr>
                <w:sz w:val="24"/>
                <w:color w:val="000000"/>
              </w:rPr>
              <w:t>一个月</w:t>
            </w:r>
            <w:r>
              <w:rPr>
                <w:sz w:val="24"/>
                <w:color w:val="000000"/>
              </w:rPr>
              <w:t>且满足系统整体可用性不低于99.5%</w:t>
            </w:r>
            <w:r>
              <w:rPr>
                <w:sz w:val="24"/>
                <w:color w:val="000000"/>
              </w:rPr>
              <w:t>后</w:t>
            </w:r>
            <w:r>
              <w:rPr>
                <w:sz w:val="24"/>
                <w:color w:val="000000"/>
              </w:rPr>
              <w:t>采购人</w:t>
            </w:r>
            <w:r>
              <w:rPr>
                <w:sz w:val="24"/>
                <w:color w:val="000000"/>
              </w:rPr>
              <w:t>通过初步验收</w:t>
            </w:r>
            <w:r>
              <w:rPr>
                <w:sz w:val="24"/>
                <w:color w:val="000000"/>
              </w:rPr>
              <w:t>。系统运维服务期一年，自初步验收合格之日起算。</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服务类</w:t>
            </w:r>
          </w:p>
        </w:tc>
      </w:tr>
    </w:tbl>
    <w:p>
      <w:pPr>
        <w:pStyle w:val="null3"/>
      </w:pPr>
      <w:r>
        <w:rPr/>
        <w:t>采购包1（新一代可信智慧医工协同中枢系统建设）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履行期限：自签订合同之日起12个月内系统开发、部署、调试完毕并交付上线运行。系统上线稳定运行一个月且满足系统整体可用性不低于99.5%后采购人通过初步验收。系统运维服务期一年，自初步验收合格之日起算。</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1期：支付比例30%,★合同签订后，中标供应商向采购人提供合同，采购人向中标供应商支付合同金额的30%作为预付款。</w:t>
            </w:r>
          </w:p>
          <w:p>
            <w:pPr>
              <w:pStyle w:val="null3"/>
            </w:pPr>
            <w:r>
              <w:rPr/>
              <w:t>2期：支付比例10%,★中标供应商进场实施两个月后，《项目实施方案》经采购人确认并且核心平台（可信中枢）的基础架构部署（包括基础运行环境搭建、数据接入及基础服务框架部署）完成后，向采购人提供项目实施情况报告和进场人员明细表，采购人审核后向中标供应商支付合同金额的10%。</w:t>
            </w:r>
          </w:p>
          <w:p>
            <w:pPr>
              <w:pStyle w:val="null3"/>
            </w:pPr>
            <w:r>
              <w:rPr/>
              <w:t>3期：支付比例15%,★在相关系统正式上线并完成对应源码及文档交付后，中标供应商凭中枢平台与集成治理能力验收合格单，采购人向中标供应商支付合同金额的5%；中标供应商凭数据治理与数据能力验收合格单，采购人向中标供应商支付合同金额的5%；中标供应商凭智慧大脑与智能服务验收合格单，采购人向中标供应商支付合同金额的5%。</w:t>
            </w:r>
          </w:p>
          <w:p>
            <w:pPr>
              <w:pStyle w:val="null3"/>
            </w:pPr>
            <w:r>
              <w:rPr/>
              <w:t>4期：支付比例25%,★当第3期中的各项验收均通过且中标供应商的系统正式上线运行一个月后进行项目初步验收，项目通过初步验收后，系统持续上线运行，且中标供应商向采购人完成全部约定源码及核心文档交付后，采购人向中标供应商支付合同金额的25%。</w:t>
            </w:r>
          </w:p>
          <w:p>
            <w:pPr>
              <w:pStyle w:val="null3"/>
            </w:pPr>
            <w:r>
              <w:rPr/>
              <w:t>5期：支付比例20%,★系统运维服务满1年后，中标供应商向采购人提供该年度运维服务质量考核表、平台稳定运行与能力验收合格单、最终验收报告，采购人审核后向中标供应商支付合同金额的20%。★注：付款要求：（1）每期款项需经采购人确认后进行支付。 （2）本项目合同的每笔款项以人民币支票或银行汇款方式支付，根据项目实施进度及验收情况，采购人按上述节点支付对应款项。采购人每次付款前，中标供应商必须出具合规的等额增值税发票等凭证资料。如发生考核扣罚或违约金，采购人有权在上述支付款项中扣除相应金额后再支付。（3）收款方、出具发票方、合同乙方均必须与中标供应商名称一致。</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供应商配合采购人分阶段完成产品研发部署工作，以能力是否真实落地、平台是否可持续运行为核心；重点考核系统运行状态与实际使用情况；采用分项验收、初步验收和最终验收相结合的方式进行；（一）分项验收要求： （1）中枢平台与集成治理能力验收至少要满足以下条件： ①中枢平台已在采购人指定的本地环境完成部署，并正常运行不少于2周； ②已完成统一身份认证与权限管理机制配置，随机抽查不少于2个账户进行权限验证并可正常使用； ③平台运行过程具备日志记录与基础运行监控能力，随机抽查不少于3条业务链路进行日志追溯验证； ④已完成相关人员培训，并提交签到与培训材料； ⑤提交阶段验收报告及相关配置说明文档。 （2）数据治理与数据能力验收至少要满足以下条件： ①已建立统一的数据标准、指标口径与主数据管理规则并形成数据说明手册； ②数据治理流程已实际运行不少于 2 周； ③至少完成不少于 3 个数据服务或指标服务的调用验证； ④已完成不少于 2 个标准化训练/评测数据集构建，并提供版本编号、数据来源说明与使用记录； ⑤已完成相关人员培训，培训参与人数不少于5人，并提交签到与培训材料； ⑥提交阶段验收报告及相关培训记录。 （3）智慧大脑与智能服务验收至少要满足以下条件： ①智慧大脑系统完成部署并连续稳定运行不少于2周； ②模型注册、部署、版本管理与下线流程可现场演示，演示不少于 1 次完整发布流程； ③至少完成2个典型业务场景的智能服务上线（具体场景以采购人确认清单为准）； ④模型运行日志可追溯，随机抽查不少于 3 条模型调用记录； ⑤已完成相关人员培训，培训参与人数不少于5人，并提交签到与培训材料； ⑥提交智能服务运行说明、模型版本清单及阶段运行记录。（二）初步验收要求：分项验收各项均通过且系统正式上线运行一个月后进行项目初步验收。如系统上线稳定运行一个月且满足系统整体可用性不低于99.5%，视为通过初步验收。（三）最终验收要求:在完成全部建设内容并通过项目初步验收，系统运维服务期满1年后，方可开展整体最终验收。系统运维服务期内中标供应商提供全面的运维服务，确保系统持续稳定、高效运行，每6个月提供系统运行状态报告，并在发生潜在风险时及时预警和处置，保障采购人业务正常开展，视为通过最终验收。</w:t>
            </w:r>
          </w:p>
        </w:tc>
      </w:tr>
      <w:tr>
        <w:tc>
          <w:tcPr>
            <w:tcW w:type="dxa" w:w="4153"/>
          </w:tcPr>
          <w:p>
            <w:pPr>
              <w:pStyle w:val="null3"/>
            </w:pPr>
            <w:r>
              <w:rPr/>
              <w:t>履约保证金</w:t>
            </w:r>
          </w:p>
        </w:tc>
        <w:tc>
          <w:tcPr>
            <w:tcW w:type="dxa" w:w="4153"/>
          </w:tcPr>
          <w:p>
            <w:pPr>
              <w:pStyle w:val="null3"/>
            </w:pPr>
            <w:r>
              <w:rPr/>
              <w:t>交纳比例：1%</w:t>
            </w:r>
          </w:p>
          <w:p>
            <w:pPr>
              <w:pStyle w:val="null3"/>
            </w:pPr>
            <w:r>
              <w:rPr/>
              <w:t>缴费渠道：</w:t>
            </w:r>
            <w:r>
              <w:rPr/>
              <w:t>电子保函（保险）</w:t>
            </w:r>
            <w:r>
              <w:rPr/>
              <w:t>、支票（本票、汇票）</w:t>
            </w:r>
            <w:r>
              <w:rPr/>
              <w:t>、其他</w:t>
            </w:r>
          </w:p>
          <w:p>
            <w:pPr>
              <w:pStyle w:val="null3"/>
            </w:pPr>
            <w:r>
              <w:rPr/>
              <w:t>账号：695173644709</w:t>
            </w:r>
          </w:p>
          <w:p>
            <w:pPr>
              <w:pStyle w:val="null3"/>
            </w:pPr>
            <w:r>
              <w:rPr/>
              <w:t>户名：佛山大学附属第三医院</w:t>
            </w:r>
          </w:p>
          <w:p>
            <w:pPr>
              <w:pStyle w:val="null3"/>
            </w:pPr>
            <w:r>
              <w:rPr/>
              <w:t>开户行：中国银行大沥支行</w:t>
            </w:r>
          </w:p>
          <w:p>
            <w:pPr>
              <w:pStyle w:val="null3"/>
            </w:pPr>
            <w:r>
              <w:rPr/>
              <w:t>支票提交方式：票据方式提交</w:t>
            </w:r>
          </w:p>
          <w:p>
            <w:pPr>
              <w:pStyle w:val="null3"/>
            </w:pPr>
            <w:r>
              <w:rPr/>
              <w:t>汇票、本票提交方式：票据方式提交</w:t>
            </w:r>
          </w:p>
          <w:p>
            <w:pPr>
              <w:pStyle w:val="null3"/>
            </w:pPr>
            <w:r>
              <w:rPr/>
              <w:t>说明：（1）提交时限：中标供应商于合同签订后7个工作日内以支票、汇票、本票、银行转账或者金融机构、担保机构出具的保函等非现金形式向采购人提交中标金额的1%作为履约保证金。 （2）有效期：履约保证金于合同期满后十五个工作日内采购人将没被扣罚的履约保证金无息退还中标供应商；以履约保函形式提交的，担保责任终止。合同因中标供应商原因产生违约，导致合同无法继续履行的情况，履约保证金不予退还。（3）履约保证金以保函形式递交的，被全部扣除履约保证金或合同期间保函失效的，中标供应商须于发生当日起3个工作日内重新开具保函并提交给采购人，且履约保函的有效期须涵盖至本项目合同约定的全部权利义务事项履行完毕为止。（4）如中标供应商选择以支票、汇票、本票等非现金形式提交履约保证金的，须于政府采购合同签订时与采购人签订补充协议明确相关账号、户名、开户行、支票或汇票或本票的提交方式。（5）中标供应商派驻人员应该严格按照规定认真履行职责。对中标供应商的工作人员违反管理规定，造成采购人严重损失的(损失金额超过10 万元或者造成严重社会影响的)，或中标供应商擅自提前解除合同的，采购人有权全部扣除履约保证金。中标供应商在服务期内若由于自身原因不能为采购人提供正常服务的，采购人有权委托他人提供，但费用由中标供应商负责，且采购人有权在中标供应商的履约保证金中扣除。中标供应商须在采购人扣除后的十个工作日内向采购人补足扣除金额或另行提交与被扣除保证金相当金额的履约保函，超过期限，采购人有权从当月的服务费中扣回。 注：上述保函是指不可撤销、不可转让的见索即付独立保函。</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其他，一、违约责任： 1.中标人提供的服务不符合招标文件、投标文件或本项目合同规定的，采购人或使用单位有权要求中标人在指定期限内整改，因此造成逾期的，采购人有权要求中标人按招标文件、投标文件或本项目合同规定承担逾期责任。中标人在采购人或使用单位指定期限内拒绝整改或整改后仍不符合要求的，采购人或使用单位有权解除本项目合同，中标人除向采购人退还对应服务的合同金额外，还应额外赔偿因此给采购人和使用单位造成的直接经济损失（包括但不限于采购人和使用单位的直接经济损失、预期可得利益损失以及为实现债权而支出的律师费、保全费、保全保险费、诉讼费、公证费、鉴定费、调查费等一切费用）。直接损失难以认定的，中标人应付违约金不应低于合同总金额的5%，不超过合同总金额的10%。 2.中标人未按要求按时履行合同义务时，须从逾期之日起每日按合同总金额的2‰比例向采购人支付违约金；逾期15日以上时，采购人或使用单位有权终止合同，由此造成采购人和使用单位的经济损失由中标人承担。违约金不足以弥补损失的，中标人应按全额赔偿。 3.因中标人项目质量原因导致项目最终验收不通过的，采购人或使用单位有权单方解除本项目合同，中标人须向采购人退还全部已收取的合同款项并按照合同总金额的5%向采购人支付违约金，该违约金不足以弥补因此给采购人或使用单位造成的损失（包括但不限于采购人的直接经济损失、预期可得利益损失以及为实现债权而支出的律师费、保全费、保全保险费、诉讼费、公证费、鉴定费、调查费等一切费用）的，采购人或使用单位有权继续向中标人追索。 4.在履行合同过程中，如果采购人或使用单位遇到可能影响中标人按时交货和提供服务的情形时，应及时以书面形式将迟延的事实、可能迟延的期限通知中标人。中标人在收到采购人或使用单位通知后，应及时对项目进行调整，并签订延长服务期限的协议。 5.其它违约责任按《中华人民共和国民法典》处理。</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费用承担</w:t>
            </w:r>
          </w:p>
        </w:tc>
        <w:tc>
          <w:tcPr>
            <w:tcW w:type="dxa" w:w="2076"/>
          </w:tcPr>
          <w:p>
            <w:pPr>
              <w:pStyle w:val="null3"/>
              <w:jc w:val="left"/>
            </w:pPr>
            <w:r>
              <w:rPr/>
              <w:t>1.1投标人的报价不得高于本项目最高限价9,850,000.00元，否则视为无效投标。 1.2 本项目实行总价包干（费用包含在投标总价内），含人员施工费用、所有的税费、合同实施过程中的应预见和不可预见费用等。投标人在投标文件的报价须包含完成该项目发生的全部费用，投标人根据采购人提供的内容及顺序（本招标文件“第二章 采购需求”的“2.技术标准与要求”的“附表一”的“（四）主要服务内容与交付成果清单”）作出详细的分项报价及总价报价。如果投标人在中标并签署合同后，在管理期限内出现的任何遗漏，均由投标人负责，采购人将不再支付任何费用。 1.3项目合同金额应包含采购项目的全部费用，在合同期限内，项目服务费不以任何理由而增加。中标供应商必须根据企业自身的成本核算情况，充分考虑服务期内物价水平、服务人员薪金的波动风险。一经投标，即认为中标供应商已充分考虑有关风险，愿意承担因这些风险所造成的一切经济损失，并放弃因此造成的损失求偿权。中标后，采购人按中标价支付费用，并在服务期内对中标价不作任何的调整。</w:t>
            </w:r>
          </w:p>
        </w:tc>
      </w:tr>
      <w:tr>
        <w:tc>
          <w:tcPr>
            <w:tcW w:type="dxa" w:w="2076"/>
          </w:tcPr>
          <w:p/>
        </w:tc>
        <w:tc>
          <w:tcPr>
            <w:tcW w:type="dxa" w:w="2076"/>
          </w:tcPr>
          <w:p>
            <w:pPr>
              <w:pStyle w:val="null3"/>
              <w:jc w:val="center"/>
            </w:pPr>
            <w:r>
              <w:rPr/>
              <w:t>2</w:t>
            </w:r>
          </w:p>
        </w:tc>
        <w:tc>
          <w:tcPr>
            <w:tcW w:type="dxa" w:w="2076"/>
          </w:tcPr>
          <w:p>
            <w:pPr>
              <w:pStyle w:val="null3"/>
              <w:jc w:val="left"/>
            </w:pPr>
            <w:r>
              <w:rPr/>
              <w:t>服务质量要求</w:t>
            </w:r>
          </w:p>
        </w:tc>
        <w:tc>
          <w:tcPr>
            <w:tcW w:type="dxa" w:w="2076"/>
          </w:tcPr>
          <w:p>
            <w:pPr>
              <w:pStyle w:val="null3"/>
              <w:jc w:val="left"/>
            </w:pPr>
            <w:r>
              <w:rPr/>
              <w:t>★2.1系统运维服务期 自初步验收合格之日起一年。 2.2故障响应 在接到采购人的服务要求通知后，10分钟内给予采购人明确答复，售后服务人员将在2小时内进行在线和远程技术支持。一般问题2小时内解决；较大问题在4小时以内解决；重大问题4小时内提出解决方案，并在24小时内解决。 2.3运维服务：每6个月提供一次上门运维巡检服务，巡检内容包括对本项目所涉及的系统设备进行巡检，形成巡检报告，保证系统运行正常。2.4技术培训 中标供应商应根据项目实施进度及系统上线安排，向采购人提供系统化、分阶段的技术培训服务，包括但不限于操作培训、面对面培训、保养培训和维修培训。培训应至少满足以下要求：（1）培训频次要求：项目实施期内不少于 2次集中培训；系统上线前不少于 1次上线专项培训；试运行及运维期内不少于 1次巩固或提升培训；（2）培训对象分类：面向业务人员（医生、护士、管理人员）的系统操作培训；面向技术人员的系统运维、配置管理及故障处理培；面向管理人员的数据应用及能力使用培训；（3）培训形式要求：应包括现场集中培训、必要的分角色培训及交流答疑；（4）培训成果要求：每次培训应形成培训签到记录、培训材料及培训总结；应提供完整的培训资料（PPT、操作手册或视频等）； 2.5信息安全保证 （1）系统符合国家相关部门关于信息安全等级保护相关要求，提供相关材料。系统的安全性和保密性必须严格遵循相关信息安全标准，切实保证在系统使用的各个环节均能最大限度保障信息安全，杜绝各类漏洞及错误的出现。 （2）系统安全、应用、运维同步设计、同步建设、同步应用、同步验收，系统整体方案必须确保系统安全可靠，满足采购人7*24小时运行要求。2.6中标供应商需提供全面的运维服务，包括但不限于系统日常运行监控、定期巡检、性能优化、数据备份与恢复等，确保系统持续稳定、高效运行。中标供应商应每6个月提供系统运行状态报告，并在发生潜在风险时及时预警和处置，保障采购人业务正常开展。</w:t>
            </w:r>
          </w:p>
        </w:tc>
      </w:tr>
      <w:tr>
        <w:tc>
          <w:tcPr>
            <w:tcW w:type="dxa" w:w="2076"/>
          </w:tcPr>
          <w:p/>
        </w:tc>
        <w:tc>
          <w:tcPr>
            <w:tcW w:type="dxa" w:w="2076"/>
          </w:tcPr>
          <w:p>
            <w:pPr>
              <w:pStyle w:val="null3"/>
              <w:jc w:val="center"/>
            </w:pPr>
            <w:r>
              <w:rPr/>
              <w:t>3</w:t>
            </w:r>
          </w:p>
        </w:tc>
        <w:tc>
          <w:tcPr>
            <w:tcW w:type="dxa" w:w="2076"/>
          </w:tcPr>
          <w:p>
            <w:pPr>
              <w:pStyle w:val="null3"/>
              <w:jc w:val="left"/>
            </w:pPr>
            <w:r>
              <w:rPr/>
              <w:t>项目组织与人员要求</w:t>
            </w:r>
          </w:p>
        </w:tc>
        <w:tc>
          <w:tcPr>
            <w:tcW w:type="dxa" w:w="2076"/>
          </w:tcPr>
          <w:p>
            <w:pPr>
              <w:pStyle w:val="null3"/>
              <w:jc w:val="left"/>
            </w:pPr>
            <w:r>
              <w:rPr/>
              <w:t>3.1中标供应商需针对此项目组织专门项目团队，指定一名专职的项目经理，负责项目过程管理、各项资源协调和调度等工作。 3.2中标供应商在项目实施期内，须安排项目负责人（项目经理）、技术负责人及至少3名项目技术人员的核心人员按采购人要求提供现场服务，负责项目现场的沟通、实施、推进、问题处理等协调工作。 3.3项目团队必须按照投标文件中的响应人数投入项目的实施，项目组成员应具备投标文件中对应资质，如因成员能力不足，导致项目实施延期或不能达到本项目的要求，中标供应商应承担相应违约责任。 3.4未经采购人书面同意，投标文件中的项目负责人（项目经理）和项目团队人员不得随意更换。 3.5采购人有权以书面形式要求中标供应商更换不能胜任合同履行工作的项目人员。即使是采购人要求或同意更换的人员，其代替人员的资历仍应得到采购人的认可，且其资历和经验均不低于被更换人员。由此而产生的费用由中标供应商承担。 3.6在服务期间内，中标供应商必须按照有关规定，对本项目所有工作服务人员缴纳各种社会保险和购买人身意外保险。如服务期内中标供应商与员工发生劳动纠纷，由中标供应商自行承担全部责任；中标供应商的服务人员直接或间接的工作失误导致发生的事故(包括但不限于意外、工伤医疗事故等)，一切责任由中标供应商负责。</w:t>
            </w:r>
          </w:p>
        </w:tc>
      </w:tr>
      <w:tr>
        <w:tc>
          <w:tcPr>
            <w:tcW w:type="dxa" w:w="2076"/>
          </w:tcPr>
          <w:p/>
        </w:tc>
        <w:tc>
          <w:tcPr>
            <w:tcW w:type="dxa" w:w="2076"/>
          </w:tcPr>
          <w:p>
            <w:pPr>
              <w:pStyle w:val="null3"/>
              <w:jc w:val="center"/>
            </w:pPr>
            <w:r>
              <w:rPr/>
              <w:t>4</w:t>
            </w:r>
          </w:p>
        </w:tc>
        <w:tc>
          <w:tcPr>
            <w:tcW w:type="dxa" w:w="2076"/>
          </w:tcPr>
          <w:p>
            <w:pPr>
              <w:pStyle w:val="null3"/>
              <w:jc w:val="left"/>
            </w:pPr>
            <w:r>
              <w:rPr/>
              <w:t>项目文档与交付要求</w:t>
            </w:r>
          </w:p>
        </w:tc>
        <w:tc>
          <w:tcPr>
            <w:tcW w:type="dxa" w:w="2076"/>
          </w:tcPr>
          <w:p>
            <w:pPr>
              <w:pStyle w:val="null3"/>
              <w:jc w:val="left"/>
            </w:pPr>
            <w:r>
              <w:rPr/>
              <w:t>4.1中标供应商需根据实施进度及时提供相应的过程及成果文档电子文件及纸质版资料至少1份，包括但不仅限于： （1）项目管理文档：《项目实施方案及计划说明书》、《项目组织结构及人员分工说明》、《项目阶段性工作报告》、《项目进度调整或重大事项说明》（如有）、《测试计划》、《试运行计划》等。 （2）技术与平台文档：《系统架构设计说明书》、《系统部署方案与配置文档》、《数据治理流程说明及运行示例》、《模型与智能服务管理运行说明》、《源码交付包》等。 （3）用户使用文档与能力转移资料：《医工协同机制与平台运行管理制度》、《系统用户操作手册》（含医生、护士、管理等多角色）、《系统运维手册》（含故障处理、系统监控、日志排查流程等）、《培训资源包》（含课程资源包、常见问题Q&amp;A）、《能力目录手册》（含平台可用服务列表、调用方式、权限路径等）。 4.2项目合同期内中标供应商需配置相关专业人员配合采购人编制和印发与本项目相关的汇报、宣传等材料，做好相应的宣传工作。</w:t>
            </w:r>
          </w:p>
        </w:tc>
      </w:tr>
      <w:tr>
        <w:tc>
          <w:tcPr>
            <w:tcW w:type="dxa" w:w="2076"/>
          </w:tcPr>
          <w:p/>
        </w:tc>
        <w:tc>
          <w:tcPr>
            <w:tcW w:type="dxa" w:w="2076"/>
          </w:tcPr>
          <w:p>
            <w:pPr>
              <w:pStyle w:val="null3"/>
              <w:jc w:val="center"/>
            </w:pPr>
            <w:r>
              <w:rPr/>
              <w:t>5</w:t>
            </w:r>
          </w:p>
        </w:tc>
        <w:tc>
          <w:tcPr>
            <w:tcW w:type="dxa" w:w="2076"/>
          </w:tcPr>
          <w:p>
            <w:pPr>
              <w:pStyle w:val="null3"/>
              <w:jc w:val="left"/>
            </w:pPr>
            <w:r>
              <w:rPr/>
              <w:t>实施规范要求</w:t>
            </w:r>
          </w:p>
        </w:tc>
        <w:tc>
          <w:tcPr>
            <w:tcW w:type="dxa" w:w="2076"/>
          </w:tcPr>
          <w:p>
            <w:pPr>
              <w:pStyle w:val="null3"/>
              <w:jc w:val="left"/>
            </w:pPr>
            <w:r>
              <w:rPr/>
              <w:t>5.1过程管理与监督要求 （1）中标供应商须服从采购人对建设过程、建设质量与进度的监督和规范管理，配合采购人及监理单位（如有）的检查与评审。 （2）中标供应商应严格遵循采购人发出的工作联系单、监理通知单及其他管理指令（如适用），及时响应并闭环处理。 （3）正式启动项目前，中标供应商须提交项目组织结构、项目计划与实施方案报采购人审核，审批通过后方可开工实施。 5.2文档评审与按文档实施要求 （1）按项目阶段与进度要求及时向采购人提交各类项目文档，经评审/审批通过后按文档执行实施。 （2）关键配置、接口契约、目录与规则/映射/策略变更，应形成变更单与评审记录，并可追溯到版本与生效时间。 （3）任何影响生产运行的变更必须具备回滚方案，并在必要时完成演练与记录。 5.3上线、灰度、并行与回滚要求 （1）平台与场景服务上线应遵循分阶段、分范围灰度策略；关键能力应支持并行运行与平滑演进，避免一次性切换带来业务风险。 （2）对涉及高风险闭环（诊疗安全、药事安全、费用结算、监管上报）的能力上线，应设置上线门禁与验收前置条件（含关键链路测试、权限审计、日志追溯、故障演练）。 （3）灰度期间应提供可观测性报表与问题台账；出现重大风险或故障时，应能按预案快速降级、隔离或回滚，并形成复盘记录。 5.4安全与合规实施要求 （1）实施过程中涉及账号、权限、数据访问与接口调用，须遵循最小权限原则；严禁使用共享账号或绕开审计机制的临时方案。 （2）涉及数据抽取、导出、迁移与测试数据使用的，应遵循采购人数据安全与个人信息保护要求，落实脱敏与访问审批流程。 （3）实施过程形成的日志、配置与证据材料应按采购人要求归档，满足内审与监管检查需要。</w:t>
            </w:r>
          </w:p>
        </w:tc>
      </w:tr>
      <w:tr>
        <w:tc>
          <w:tcPr>
            <w:tcW w:type="dxa" w:w="2076"/>
          </w:tcPr>
          <w:p/>
        </w:tc>
        <w:tc>
          <w:tcPr>
            <w:tcW w:type="dxa" w:w="2076"/>
          </w:tcPr>
          <w:p>
            <w:pPr>
              <w:pStyle w:val="null3"/>
              <w:jc w:val="center"/>
            </w:pPr>
            <w:r>
              <w:rPr/>
              <w:t>6</w:t>
            </w:r>
          </w:p>
        </w:tc>
        <w:tc>
          <w:tcPr>
            <w:tcW w:type="dxa" w:w="2076"/>
          </w:tcPr>
          <w:p>
            <w:pPr>
              <w:pStyle w:val="null3"/>
              <w:jc w:val="left"/>
            </w:pPr>
            <w:r>
              <w:rPr/>
              <w:t>知识产权</w:t>
            </w:r>
          </w:p>
        </w:tc>
        <w:tc>
          <w:tcPr>
            <w:tcW w:type="dxa" w:w="2076"/>
          </w:tcPr>
          <w:p>
            <w:pPr>
              <w:pStyle w:val="null3"/>
              <w:jc w:val="left"/>
            </w:pPr>
            <w:r>
              <w:rPr/>
              <w:t>6.1投标人应保证本项目的投标技术、服务或其任何一部分不会产生因第三方提出侵犯其专利权、商标权或其他知识产权而引起的法律和经济纠纷；如因第三方提出其专利权、商标权等知识产权或其他权益的侵权之诉，则一切法律责任由投标人承担。6.2本项目所产出的软件源代码、技术文档等成果知识产权归采购人所有。</w:t>
            </w:r>
          </w:p>
        </w:tc>
      </w:tr>
      <w:tr>
        <w:tc>
          <w:tcPr>
            <w:tcW w:type="dxa" w:w="2076"/>
          </w:tcPr>
          <w:p/>
        </w:tc>
        <w:tc>
          <w:tcPr>
            <w:tcW w:type="dxa" w:w="2076"/>
          </w:tcPr>
          <w:p>
            <w:pPr>
              <w:pStyle w:val="null3"/>
              <w:jc w:val="center"/>
            </w:pPr>
            <w:r>
              <w:rPr/>
              <w:t>7</w:t>
            </w:r>
          </w:p>
        </w:tc>
        <w:tc>
          <w:tcPr>
            <w:tcW w:type="dxa" w:w="2076"/>
          </w:tcPr>
          <w:p>
            <w:pPr>
              <w:pStyle w:val="null3"/>
              <w:jc w:val="left"/>
            </w:pPr>
            <w:r>
              <w:rPr/>
              <w:t>保密条款</w:t>
            </w:r>
          </w:p>
        </w:tc>
        <w:tc>
          <w:tcPr>
            <w:tcW w:type="dxa" w:w="2076"/>
          </w:tcPr>
          <w:p>
            <w:pPr>
              <w:pStyle w:val="null3"/>
              <w:jc w:val="left"/>
            </w:pPr>
            <w:r>
              <w:rPr/>
              <w:t>7.1中标供应商必须如约承担合同履行时所应该尽的一切保密义务。中标供应商及其参与本项目的所有工作人员均须对采购人信息、项目实施过程中的资料、数据进行保密，未经采购人书面同意不得泄露给第三方，否则，采购人保留追究中标供应商法律责任的权利。保密责任不因合同的中止或解除而失效。 7.2与本项目有关采购人的信息、项目实施过程中的资料、数据等所有资料（包括但不限于文字、图片、声像资料、电子数据等）均属采购人所有，中标供应商及其参与本项目的所有工作人员在本合同有效期内或合同终止后，不得泄露，也不得超越本项目实施范围使用。</w:t>
            </w:r>
          </w:p>
        </w:tc>
      </w:tr>
      <w:tr>
        <w:tc>
          <w:tcPr>
            <w:tcW w:type="dxa" w:w="2076"/>
          </w:tcPr>
          <w:p/>
        </w:tc>
        <w:tc>
          <w:tcPr>
            <w:tcW w:type="dxa" w:w="2076"/>
          </w:tcPr>
          <w:p>
            <w:pPr>
              <w:pStyle w:val="null3"/>
              <w:jc w:val="center"/>
            </w:pPr>
            <w:r>
              <w:rPr/>
              <w:t>8</w:t>
            </w:r>
          </w:p>
        </w:tc>
        <w:tc>
          <w:tcPr>
            <w:tcW w:type="dxa" w:w="2076"/>
          </w:tcPr>
          <w:p>
            <w:pPr>
              <w:pStyle w:val="null3"/>
              <w:jc w:val="left"/>
            </w:pPr>
            <w:r>
              <w:rPr/>
              <w:t>服务对照执行标准</w:t>
            </w:r>
          </w:p>
        </w:tc>
        <w:tc>
          <w:tcPr>
            <w:tcW w:type="dxa" w:w="2076"/>
          </w:tcPr>
          <w:p>
            <w:pPr>
              <w:pStyle w:val="null3"/>
              <w:jc w:val="left"/>
            </w:pPr>
            <w:r>
              <w:rPr/>
              <w:t>8.1符合中华人民共和国国家和履约地相关安全质量标准、行业技术规范标准； 8.2符合采购文件和响应承诺中各方共同认可的合理要求； 上述各类标准与法规必须是有关官方机构最新发布的现行标准版本。</w:t>
            </w:r>
          </w:p>
        </w:tc>
      </w:tr>
      <w:tr>
        <w:tc>
          <w:tcPr>
            <w:tcW w:type="dxa" w:w="2076"/>
          </w:tcPr>
          <w:p/>
        </w:tc>
        <w:tc>
          <w:tcPr>
            <w:tcW w:type="dxa" w:w="2076"/>
          </w:tcPr>
          <w:p>
            <w:pPr>
              <w:pStyle w:val="null3"/>
              <w:jc w:val="center"/>
            </w:pPr>
            <w:r>
              <w:rPr/>
              <w:t>9</w:t>
            </w:r>
          </w:p>
        </w:tc>
        <w:tc>
          <w:tcPr>
            <w:tcW w:type="dxa" w:w="2076"/>
          </w:tcPr>
          <w:p>
            <w:pPr>
              <w:pStyle w:val="null3"/>
              <w:jc w:val="left"/>
            </w:pPr>
            <w:r>
              <w:rPr/>
              <w:t>投诉跟踪服务要求</w:t>
            </w:r>
          </w:p>
        </w:tc>
        <w:tc>
          <w:tcPr>
            <w:tcW w:type="dxa" w:w="2076"/>
          </w:tcPr>
          <w:p>
            <w:pPr>
              <w:pStyle w:val="null3"/>
              <w:jc w:val="left"/>
            </w:pPr>
            <w:r>
              <w:rPr/>
              <w:t>9.1中标供应商须提供常设的投诉热线服务，并对投诉内容进行及时跟踪、回访。对采购人的投诉与通知，必须按采购人指定的时间内处理完毕，若特发事件不能在短时间内解决，中标供应商必须采取应急措施，或按采购人认可的应急方案执行，不得影响采购人的正常工作业务。 9.2合同履行期限内，采购人有权按本项目的管理要求对中标供应商进行不定期抽查检查，若对不合格的管理服务提出警告后，仍未得到有效解决时，采购人有权终止采购合同。</w:t>
            </w:r>
          </w:p>
        </w:tc>
      </w:tr>
      <w:tr>
        <w:tc>
          <w:tcPr>
            <w:tcW w:type="dxa" w:w="2076"/>
          </w:tcPr>
          <w:p/>
        </w:tc>
        <w:tc>
          <w:tcPr>
            <w:tcW w:type="dxa" w:w="2076"/>
          </w:tcPr>
          <w:p>
            <w:pPr>
              <w:pStyle w:val="null3"/>
              <w:jc w:val="center"/>
            </w:pPr>
            <w:r>
              <w:rPr/>
              <w:t>10</w:t>
            </w:r>
          </w:p>
        </w:tc>
        <w:tc>
          <w:tcPr>
            <w:tcW w:type="dxa" w:w="2076"/>
          </w:tcPr>
          <w:p>
            <w:pPr>
              <w:pStyle w:val="null3"/>
              <w:jc w:val="left"/>
            </w:pPr>
            <w:r>
              <w:rPr/>
              <w:t>提出异议的时间和方法</w:t>
            </w:r>
          </w:p>
        </w:tc>
        <w:tc>
          <w:tcPr>
            <w:tcW w:type="dxa" w:w="2076"/>
          </w:tcPr>
          <w:p>
            <w:pPr>
              <w:pStyle w:val="null3"/>
              <w:jc w:val="left"/>
            </w:pPr>
            <w:r>
              <w:rPr/>
              <w:t>10.1采购人有异议时，应15天内向中标供应商提出书面异议。 10.2中标供应商在接到采购人书面异议后，应在15天内负责处理并函复采购人处理情况，否则，即视为默认采购人提出的异议和处理意见。 10.3中标供应商利用专业技术和行业信息优势之便，以不道德的手段，故意隐瞒和掩盖自身缔约过失，违背投标（响应）承诺和未尽义务，损害了采购人的合法权益，采购人在任何时候均可追究中标供应商的违约责任并索取赔偿，且不受验收程序、服务期和合同时效的限制。</w:t>
            </w:r>
          </w:p>
        </w:tc>
      </w:tr>
      <w:tr>
        <w:tc>
          <w:tcPr>
            <w:tcW w:type="dxa" w:w="2076"/>
          </w:tcPr>
          <w:p>
            <w:pPr>
              <w:pStyle w:val="null3"/>
              <w:jc w:val="center"/>
            </w:pPr>
            <w:r>
              <w:rPr/>
              <w:t>★</w:t>
            </w:r>
          </w:p>
        </w:tc>
        <w:tc>
          <w:tcPr>
            <w:tcW w:type="dxa" w:w="2076"/>
          </w:tcPr>
          <w:p>
            <w:pPr>
              <w:pStyle w:val="null3"/>
              <w:jc w:val="center"/>
            </w:pPr>
            <w:r>
              <w:rPr/>
              <w:t>11</w:t>
            </w:r>
          </w:p>
        </w:tc>
        <w:tc>
          <w:tcPr>
            <w:tcW w:type="dxa" w:w="2076"/>
          </w:tcPr>
          <w:p>
            <w:pPr>
              <w:pStyle w:val="null3"/>
              <w:jc w:val="left"/>
            </w:pPr>
            <w:r>
              <w:rPr/>
              <w:t>异常低价审查</w:t>
            </w:r>
          </w:p>
        </w:tc>
        <w:tc>
          <w:tcPr>
            <w:tcW w:type="dxa" w:w="2076"/>
          </w:tcPr>
          <w:p>
            <w:pPr>
              <w:pStyle w:val="null3"/>
              <w:jc w:val="left"/>
            </w:pPr>
            <w:r>
              <w:rPr/>
              <w:t>依据《关于推动解决政府采购异常低价问题的通知》（财库〔2026〕2号），本项目明确异常低价审查程序如下： （一）出现下列情形之一的，评审委员会应当启动异常低价投标（响应）审查程序：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新一代可信智慧医工协同中枢系统建设</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11,000,000.00</w:t>
            </w:r>
          </w:p>
        </w:tc>
        <w:tc>
          <w:tcPr>
            <w:tcW w:type="dxa" w:w="933"/>
          </w:tcPr>
          <w:p>
            <w:pPr>
              <w:pStyle w:val="null3"/>
              <w:jc w:val="right"/>
            </w:pPr>
            <w:r>
              <w:rPr/>
              <w:t>11,000,000.00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新一代可信智慧医工协同中枢系统建设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（一）项目概况</w:t>
            </w:r>
          </w:p>
          <w:p>
            <w:pPr>
              <w:pStyle w:val="null3"/>
              <w:ind w:firstLine="482"/>
              <w:jc w:val="both"/>
            </w:pPr>
            <w:r>
              <w:rPr>
                <w:sz w:val="24"/>
                <w:b/>
              </w:rPr>
              <w:t xml:space="preserve">1.1 </w:t>
            </w:r>
            <w:r>
              <w:rPr>
                <w:sz w:val="24"/>
                <w:b/>
              </w:rPr>
              <w:t>项目介绍</w:t>
            </w:r>
          </w:p>
          <w:p>
            <w:pPr>
              <w:pStyle w:val="null3"/>
              <w:ind w:firstLine="480"/>
              <w:jc w:val="left"/>
            </w:pPr>
            <w:r>
              <w:rPr>
                <w:sz w:val="24"/>
              </w:rPr>
              <w:t>本项目以</w:t>
            </w:r>
            <w:r>
              <w:rPr>
                <w:sz w:val="24"/>
              </w:rPr>
              <w:t xml:space="preserve">“可信、智慧、协同”为核心建设理念，拟构建“可信中枢系统 </w:t>
            </w:r>
            <w:r>
              <w:rPr>
                <w:sz w:val="24"/>
              </w:rPr>
              <w:t xml:space="preserve">+ </w:t>
            </w:r>
            <w:r>
              <w:rPr>
                <w:sz w:val="24"/>
              </w:rPr>
              <w:t>智慧大脑系统”的双中枢平台，支撑医院多院区协同治理、数据治理标准化、垂直医学模型本地训练与运行、智能体服务体系落地等能力，打造可运营、可演进、可控制的智慧医院核心能力平台。</w:t>
            </w:r>
          </w:p>
          <w:p>
            <w:pPr>
              <w:pStyle w:val="null3"/>
              <w:ind w:firstLine="482"/>
              <w:jc w:val="both"/>
            </w:pPr>
            <w:r>
              <w:rPr>
                <w:sz w:val="24"/>
                <w:b/>
              </w:rPr>
              <w:t xml:space="preserve">1.2 </w:t>
            </w:r>
            <w:r>
              <w:rPr>
                <w:sz w:val="24"/>
                <w:b/>
              </w:rPr>
              <w:t>项目建设目标</w:t>
            </w:r>
          </w:p>
          <w:p>
            <w:pPr>
              <w:pStyle w:val="null3"/>
              <w:ind w:firstLine="480"/>
              <w:jc w:val="both"/>
            </w:pPr>
            <w:r>
              <w:rPr>
                <w:sz w:val="24"/>
              </w:rPr>
              <w:t>“新一代可信智慧医工协同中枢系统”并非单一系统建设项目，而是面向医院长期智慧发展，构建具备自主能力、可持续演进和本地智能运营能力的数字能力平台体系。该体系以“可信”为根基，以“智慧”为核心手段，以“医工协同”为机制保障，以“中枢化”为系统形态，推动医院从“系统堆叠式建设”迈向“能力平台化运营”，实现真正意义上的智慧医院能力跃升。</w:t>
            </w:r>
          </w:p>
          <w:p>
            <w:pPr>
              <w:pStyle w:val="null3"/>
              <w:ind w:firstLine="480"/>
              <w:jc w:val="both"/>
            </w:pPr>
            <w:r>
              <w:rPr>
                <w:sz w:val="24"/>
              </w:rPr>
              <w:t>项目建设的核心目标，是在</w:t>
            </w:r>
            <w:r>
              <w:rPr>
                <w:sz w:val="24"/>
              </w:rPr>
              <w:t>“平台统一、智能嵌入、数据治理、模型本地化”的总体策略下，构建具备统一中枢、智能核心、场景协同、能力可控的智慧运营中枢，支撑医院在医疗服务、科研创新、管理决策、区域协同等关键场景中的能力生长与策略落地。</w:t>
            </w:r>
          </w:p>
          <w:p>
            <w:pPr>
              <w:pStyle w:val="null3"/>
              <w:ind w:firstLine="480"/>
              <w:jc w:val="both"/>
            </w:pPr>
            <w:r>
              <w:rPr>
                <w:sz w:val="24"/>
              </w:rPr>
              <w:t>围绕</w:t>
            </w:r>
            <w:r>
              <w:rPr>
                <w:sz w:val="24"/>
              </w:rPr>
              <w:t>“一院三区”深度融合与“三级甲等综合医院”创建目标，结合《广东省加快发展“人工智能</w:t>
            </w:r>
            <w:r>
              <w:rPr>
                <w:sz w:val="24"/>
              </w:rPr>
              <w:t>+</w:t>
            </w:r>
            <w:r>
              <w:rPr>
                <w:sz w:val="24"/>
              </w:rPr>
              <w:t>医疗卫生”行动方案</w:t>
            </w:r>
            <w:r>
              <w:rPr>
                <w:sz w:val="24"/>
              </w:rPr>
              <w:t>(2025</w:t>
            </w:r>
            <w:r>
              <w:rPr>
                <w:sz w:val="24"/>
              </w:rPr>
              <w:t>—</w:t>
            </w:r>
            <w:r>
              <w:rPr>
                <w:sz w:val="24"/>
              </w:rPr>
              <w:t>2027</w:t>
            </w:r>
            <w:r>
              <w:rPr>
                <w:sz w:val="24"/>
              </w:rPr>
              <w:t>年</w:t>
            </w:r>
            <w:r>
              <w:rPr>
                <w:sz w:val="24"/>
              </w:rPr>
              <w:t>)</w:t>
            </w:r>
            <w:r>
              <w:rPr>
                <w:sz w:val="24"/>
              </w:rPr>
              <w:t>》的政策引导，项目将推动人工智能在诊疗服务、辅助决策、路径干预、科研建模等方面规范落地，全面提升医疗卫生服务质量与效率，构建覆盖全生命周期的智慧健康能力体系，满足人民群众对高品质医疗服务的现实需求。</w:t>
            </w:r>
          </w:p>
          <w:p>
            <w:pPr>
              <w:pStyle w:val="null3"/>
              <w:ind w:firstLine="480"/>
              <w:jc w:val="both"/>
            </w:pPr>
            <w:r>
              <w:rPr>
                <w:sz w:val="24"/>
              </w:rPr>
              <w:t>通过分阶段、模块化建设，项目拟构建由</w:t>
            </w:r>
            <w:r>
              <w:rPr>
                <w:sz w:val="24"/>
              </w:rPr>
              <w:t xml:space="preserve">“可信调度中枢 </w:t>
            </w:r>
            <w:r>
              <w:rPr>
                <w:sz w:val="24"/>
              </w:rPr>
              <w:t xml:space="preserve">+ </w:t>
            </w:r>
            <w:r>
              <w:rPr>
                <w:sz w:val="24"/>
              </w:rPr>
              <w:t xml:space="preserve">智慧计算核心 </w:t>
            </w:r>
            <w:r>
              <w:rPr>
                <w:sz w:val="24"/>
              </w:rPr>
              <w:t xml:space="preserve">+ </w:t>
            </w:r>
            <w:r>
              <w:rPr>
                <w:sz w:val="24"/>
              </w:rPr>
              <w:t>医工协同机制”构成的三位一体能力平台，重点实现以下四大战略跃迁：</w:t>
            </w:r>
          </w:p>
          <w:p>
            <w:pPr>
              <w:pStyle w:val="null3"/>
              <w:ind w:firstLine="480"/>
              <w:jc w:val="both"/>
            </w:pPr>
            <w:r>
              <w:rPr>
                <w:sz w:val="24"/>
              </w:rPr>
              <w:t>（</w:t>
            </w:r>
            <w:r>
              <w:rPr>
                <w:sz w:val="24"/>
              </w:rPr>
              <w:t>1</w:t>
            </w:r>
            <w:r>
              <w:rPr>
                <w:sz w:val="24"/>
              </w:rPr>
              <w:t>）从系统堆叠迈向能力整合：以统一的数据接口、业务标准与流程引擎为基础，构建平台型系统架构，实现多系统能力汇聚与统一治理。</w:t>
            </w:r>
          </w:p>
          <w:p>
            <w:pPr>
              <w:pStyle w:val="null3"/>
              <w:ind w:firstLine="480"/>
              <w:jc w:val="both"/>
            </w:pPr>
            <w:r>
              <w:rPr>
                <w:sz w:val="24"/>
              </w:rPr>
              <w:t>（</w:t>
            </w:r>
            <w:r>
              <w:rPr>
                <w:sz w:val="24"/>
              </w:rPr>
              <w:t>2</w:t>
            </w:r>
            <w:r>
              <w:rPr>
                <w:sz w:val="24"/>
              </w:rPr>
              <w:t>）从信息支撑迈向智慧赋能：建设面向业务流程嵌入的角色型智能体体系，实现模型驱动、事件联动与预测辅助能力闭环。</w:t>
            </w:r>
          </w:p>
          <w:p>
            <w:pPr>
              <w:pStyle w:val="null3"/>
              <w:ind w:firstLine="480"/>
              <w:jc w:val="both"/>
            </w:pPr>
            <w:r>
              <w:rPr>
                <w:sz w:val="24"/>
              </w:rPr>
              <w:t>（</w:t>
            </w:r>
            <w:r>
              <w:rPr>
                <w:sz w:val="24"/>
              </w:rPr>
              <w:t>3</w:t>
            </w:r>
            <w:r>
              <w:rPr>
                <w:sz w:val="24"/>
              </w:rPr>
              <w:t>）从外包交付迈向医院自运营：建立院内数据资产池、模型本地训练与部署机制，实现能力本地掌控、可演进、可复用。</w:t>
            </w:r>
          </w:p>
          <w:p>
            <w:pPr>
              <w:pStyle w:val="null3"/>
              <w:ind w:firstLine="480"/>
              <w:jc w:val="both"/>
            </w:pPr>
            <w:r>
              <w:rPr>
                <w:sz w:val="24"/>
              </w:rPr>
              <w:t>（</w:t>
            </w:r>
            <w:r>
              <w:rPr>
                <w:sz w:val="24"/>
              </w:rPr>
              <w:t>4</w:t>
            </w:r>
            <w:r>
              <w:rPr>
                <w:sz w:val="24"/>
              </w:rPr>
              <w:t>）从烟囱式建设迈向闭环治理：以中枢系统为枢纽、智慧大脑为核心，实现“数据→模型→服务→反馈”全过程闭环能力。</w:t>
            </w:r>
          </w:p>
          <w:p>
            <w:pPr>
              <w:pStyle w:val="null3"/>
              <w:ind w:firstLine="480"/>
              <w:jc w:val="both"/>
            </w:pPr>
            <w:r>
              <w:rPr>
                <w:sz w:val="24"/>
              </w:rPr>
              <w:t>系统建成后，将形成一个基于可信平台、高质量数据、场景化智能与持续演进能力的</w:t>
            </w:r>
            <w:r>
              <w:rPr>
                <w:sz w:val="24"/>
              </w:rPr>
              <w:t xml:space="preserve">“智慧中枢 </w:t>
            </w:r>
            <w:r>
              <w:rPr>
                <w:sz w:val="24"/>
              </w:rPr>
              <w:t xml:space="preserve">+ </w:t>
            </w:r>
            <w:r>
              <w:rPr>
                <w:sz w:val="24"/>
              </w:rPr>
              <w:t>运营大脑”能力体系，支撑医院实现从“系统使用”到“能力治理”的关键转型，为区域医疗协同发展、专科质量提升、教学科研融合与医院长期数字主权构建提供核心支撑。</w:t>
            </w:r>
          </w:p>
          <w:p>
            <w:pPr>
              <w:pStyle w:val="null3"/>
              <w:ind w:firstLine="482"/>
              <w:jc w:val="both"/>
            </w:pPr>
            <w:r>
              <w:rPr>
                <w:sz w:val="24"/>
                <w:b/>
              </w:rPr>
              <w:t>（二）采购服务内容及要求</w:t>
            </w:r>
          </w:p>
          <w:p>
            <w:pPr>
              <w:pStyle w:val="null3"/>
              <w:ind w:firstLine="482"/>
              <w:jc w:val="both"/>
            </w:pPr>
            <w:r>
              <w:rPr>
                <w:sz w:val="24"/>
                <w:b/>
              </w:rPr>
              <w:t>2.1</w:t>
            </w:r>
            <w:r>
              <w:rPr>
                <w:sz w:val="24"/>
                <w:b/>
              </w:rPr>
              <w:t>服务总体要求</w:t>
            </w:r>
            <w:r>
              <w:rPr/>
              <w:t xml:space="preserve"> </w:t>
            </w:r>
          </w:p>
          <w:p>
            <w:pPr>
              <w:pStyle w:val="null3"/>
              <w:ind w:firstLine="480"/>
              <w:jc w:val="both"/>
            </w:pPr>
            <w:r>
              <w:rPr>
                <w:sz w:val="24"/>
              </w:rPr>
              <w:t>2.1.1</w:t>
            </w:r>
            <w:r>
              <w:rPr>
                <w:sz w:val="24"/>
              </w:rPr>
              <w:t>中标供应商应按照采购文件及采购合同约定，为采购人提供贯穿项目规划、建设、部署、运行与支撑全过程的综合性技术服务，不得以单一软件交付、功能模块交付或局部系统建设替代本项目整体服务内容；</w:t>
            </w:r>
          </w:p>
          <w:p>
            <w:pPr>
              <w:pStyle w:val="null3"/>
              <w:ind w:firstLine="480"/>
              <w:jc w:val="both"/>
            </w:pPr>
            <w:r>
              <w:rPr>
                <w:sz w:val="24"/>
              </w:rPr>
              <w:t>2.1.2</w:t>
            </w:r>
            <w:r>
              <w:rPr>
                <w:sz w:val="24"/>
              </w:rPr>
              <w:t>本项目服务目标为构建医院级智慧医工协同中枢能力平台，服务内容应覆盖平台能力建设、数据治理、智能服务部署、医工协同机制建设及运行支撑等方面；</w:t>
            </w:r>
          </w:p>
          <w:p>
            <w:pPr>
              <w:pStyle w:val="null3"/>
              <w:ind w:firstLine="480"/>
              <w:jc w:val="both"/>
            </w:pPr>
            <w:r>
              <w:rPr>
                <w:sz w:val="24"/>
              </w:rPr>
              <w:t>2.1.3</w:t>
            </w:r>
            <w:r>
              <w:rPr>
                <w:sz w:val="24"/>
              </w:rPr>
              <w:t>项目相关平台、数据及智能能力应部署于采购人指定的运行环境；</w:t>
            </w:r>
          </w:p>
          <w:p>
            <w:pPr>
              <w:pStyle w:val="null3"/>
              <w:ind w:firstLine="480"/>
              <w:jc w:val="both"/>
            </w:pPr>
            <w:r>
              <w:rPr>
                <w:sz w:val="24"/>
              </w:rPr>
              <w:t>2.1.4</w:t>
            </w:r>
            <w:r>
              <w:rPr>
                <w:sz w:val="24"/>
              </w:rPr>
              <w:t>项目实施过程中形成的系统配置、能力目录、流程模型、运行文档等成果，应满足采购人后续自主运行、维护与扩展需要；</w:t>
            </w:r>
          </w:p>
          <w:p>
            <w:pPr>
              <w:pStyle w:val="null3"/>
              <w:ind w:firstLine="480"/>
              <w:jc w:val="both"/>
            </w:pPr>
            <w:r>
              <w:rPr>
                <w:sz w:val="24"/>
              </w:rPr>
              <w:t>2.1.5</w:t>
            </w:r>
            <w:r>
              <w:rPr>
                <w:sz w:val="24"/>
              </w:rPr>
              <w:t>中标供应商应建立完善的项目管理机制，明确项目负责人及实施团队</w:t>
            </w:r>
            <w:r>
              <w:rPr>
                <w:sz w:val="24"/>
              </w:rPr>
              <w:t>成员</w:t>
            </w:r>
            <w:r>
              <w:rPr>
                <w:sz w:val="24"/>
              </w:rPr>
              <w:t>分工，确保项目实施过程可控、有序。</w:t>
            </w:r>
          </w:p>
          <w:p>
            <w:pPr>
              <w:pStyle w:val="null3"/>
              <w:ind w:firstLine="480"/>
              <w:jc w:val="both"/>
            </w:pPr>
            <w:r>
              <w:rPr>
                <w:sz w:val="24"/>
              </w:rPr>
              <w:t>2.1.6中标供应商应为采购人做好系统的容灾备份、数据业务恢复等工作。</w:t>
            </w:r>
          </w:p>
          <w:p>
            <w:pPr>
              <w:pStyle w:val="null3"/>
              <w:ind w:firstLine="482"/>
              <w:jc w:val="both"/>
            </w:pPr>
            <w:r>
              <w:rPr>
                <w:sz w:val="24"/>
                <w:b/>
              </w:rPr>
              <w:t>2.2</w:t>
            </w:r>
            <w:r>
              <w:rPr>
                <w:sz w:val="24"/>
                <w:b/>
              </w:rPr>
              <w:t>可信医工协同中枢平台建设服务要求</w:t>
            </w:r>
          </w:p>
          <w:p>
            <w:pPr>
              <w:pStyle w:val="null3"/>
              <w:ind w:firstLine="480"/>
              <w:jc w:val="both"/>
            </w:pPr>
            <w:r>
              <w:rPr>
                <w:sz w:val="24"/>
              </w:rPr>
              <w:t>中标供应商应建设统一的可信医工协同中枢平台，作为医院智慧能力体系中业务、数据、流程与服务能力的集中治理与运行支撑中枢。中枢平台应面向医院既有诊疗、护理、药事、管理及运营等相关业务系统，</w:t>
            </w:r>
            <w:r>
              <w:rPr>
                <w:sz w:val="24"/>
              </w:rPr>
              <w:t>主要包括</w:t>
            </w:r>
            <w:r>
              <w:rPr>
                <w:sz w:val="24"/>
              </w:rPr>
              <w:t>3</w:t>
            </w:r>
            <w:r>
              <w:rPr>
                <w:sz w:val="24"/>
              </w:rPr>
              <w:t>个</w:t>
            </w:r>
            <w:r>
              <w:rPr>
                <w:sz w:val="24"/>
              </w:rPr>
              <w:t>HIS</w:t>
            </w:r>
            <w:r>
              <w:rPr>
                <w:sz w:val="24"/>
              </w:rPr>
              <w:t>系统、</w:t>
            </w:r>
            <w:r>
              <w:rPr>
                <w:sz w:val="24"/>
              </w:rPr>
              <w:t>3</w:t>
            </w:r>
            <w:r>
              <w:rPr>
                <w:sz w:val="24"/>
              </w:rPr>
              <w:t>个</w:t>
            </w:r>
            <w:r>
              <w:rPr>
                <w:sz w:val="24"/>
              </w:rPr>
              <w:t>电子病历系统、</w:t>
            </w:r>
            <w:r>
              <w:rPr>
                <w:sz w:val="24"/>
              </w:rPr>
              <w:t>3</w:t>
            </w:r>
            <w:r>
              <w:rPr>
                <w:sz w:val="24"/>
              </w:rPr>
              <w:t>个</w:t>
            </w:r>
            <w:r>
              <w:rPr>
                <w:sz w:val="24"/>
              </w:rPr>
              <w:t>影像系统和</w:t>
            </w:r>
            <w:r>
              <w:rPr>
                <w:sz w:val="24"/>
              </w:rPr>
              <w:t>1</w:t>
            </w:r>
            <w:r>
              <w:rPr>
                <w:sz w:val="24"/>
              </w:rPr>
              <w:t>个</w:t>
            </w:r>
            <w:r>
              <w:rPr>
                <w:sz w:val="24"/>
              </w:rPr>
              <w:t>检验系统，</w:t>
            </w:r>
            <w:r>
              <w:rPr>
                <w:sz w:val="24"/>
              </w:rPr>
              <w:t>提供统一承载、标准化封装与协同治理能力，逐步推动业务能力的平台化运行与有序演进，避免简单叠加建设或重复开发。</w:t>
            </w:r>
          </w:p>
          <w:p>
            <w:pPr>
              <w:pStyle w:val="null3"/>
              <w:ind w:firstLine="480"/>
              <w:jc w:val="both"/>
            </w:pPr>
            <w:r>
              <w:rPr>
                <w:sz w:val="24"/>
              </w:rPr>
              <w:t>中枢平台重点承担系统级能力托管、运行调度与协同支撑职责，主要包括业务能力汇聚、数据服务治理对接、流程整合运行、统一身份与权限管理、运行监控与审计等内容；不承担智能模型、智能算法或智能决策逻辑本身的实现责任。</w:t>
            </w:r>
          </w:p>
          <w:p>
            <w:pPr>
              <w:pStyle w:val="null3"/>
              <w:ind w:firstLine="480"/>
              <w:jc w:val="both"/>
            </w:pPr>
            <w:r>
              <w:rPr>
                <w:sz w:val="24"/>
              </w:rPr>
              <w:t>本项目不以简单替换或整体重建既有业务系统为目标，而是通过建设可信医工协同中枢平台，对医院现有业务系统能力进行并行接入、能力封装与流程整合，在保障医疗业务连续性、数据安全性和系统稳定运行的前提下，逐步实现跨系统能力协同与平台化运行。</w:t>
            </w:r>
          </w:p>
          <w:p>
            <w:pPr>
              <w:pStyle w:val="null3"/>
              <w:ind w:firstLine="480"/>
              <w:jc w:val="both"/>
            </w:pPr>
            <w:r>
              <w:rPr>
                <w:sz w:val="24"/>
              </w:rPr>
              <w:t>中枢平台应支持既有系统与新建能力的并行运行与平滑演进，能够根据医院管理需求和实际运行效果，对业务能力进行统一调度与优化配置。对于功能重叠、技术架构陈旧或难以满足医院中长期发展需求的业务模块，可在项目实施过程中，结合运行情况，通过能力重构、流程优化或平台化承载等方式予以优化调整，相关实施路径与节奏由采购人统筹确定。</w:t>
            </w:r>
          </w:p>
          <w:p>
            <w:pPr>
              <w:pStyle w:val="null3"/>
              <w:ind w:firstLine="480"/>
              <w:jc w:val="both"/>
            </w:pPr>
            <w:r>
              <w:rPr>
                <w:sz w:val="24"/>
              </w:rPr>
              <w:t xml:space="preserve">2.2.1 </w:t>
            </w:r>
            <w:r>
              <w:rPr>
                <w:sz w:val="24"/>
              </w:rPr>
              <w:t>中枢平台总体要求</w:t>
            </w:r>
          </w:p>
          <w:p>
            <w:pPr>
              <w:pStyle w:val="null3"/>
              <w:ind w:firstLine="480"/>
              <w:jc w:val="both"/>
            </w:pPr>
            <w:r>
              <w:rPr>
                <w:sz w:val="24"/>
              </w:rPr>
              <w:t>中枢平台应满足以下基本要求：</w:t>
            </w:r>
          </w:p>
          <w:p>
            <w:pPr>
              <w:pStyle w:val="null3"/>
              <w:ind w:left="420"/>
              <w:jc w:val="both"/>
            </w:pPr>
            <w:r>
              <w:rPr>
                <w:sz w:val="24"/>
              </w:rPr>
              <w:t>（</w:t>
            </w:r>
            <w:r>
              <w:rPr>
                <w:sz w:val="24"/>
              </w:rPr>
              <w:t>1</w:t>
            </w:r>
            <w:r>
              <w:rPr>
                <w:sz w:val="24"/>
              </w:rPr>
              <w:t>）支持多院区、多业务系统并行接入与统一治理；</w:t>
            </w:r>
          </w:p>
          <w:p>
            <w:pPr>
              <w:pStyle w:val="null3"/>
              <w:ind w:left="420"/>
              <w:jc w:val="both"/>
            </w:pPr>
            <w:r>
              <w:rPr>
                <w:sz w:val="24"/>
              </w:rPr>
              <w:t>（</w:t>
            </w:r>
            <w:r>
              <w:rPr>
                <w:sz w:val="24"/>
              </w:rPr>
              <w:t>2</w:t>
            </w:r>
            <w:r>
              <w:rPr>
                <w:sz w:val="24"/>
              </w:rPr>
              <w:t>）支持院内异构系统的能力汇聚、标准化封装与统一调度；</w:t>
            </w:r>
          </w:p>
          <w:p>
            <w:pPr>
              <w:pStyle w:val="null3"/>
              <w:ind w:left="420"/>
              <w:jc w:val="both"/>
            </w:pPr>
            <w:r>
              <w:rPr>
                <w:sz w:val="24"/>
              </w:rPr>
              <w:t>（</w:t>
            </w:r>
            <w:r>
              <w:rPr>
                <w:sz w:val="24"/>
              </w:rPr>
              <w:t>3</w:t>
            </w:r>
            <w:r>
              <w:rPr>
                <w:sz w:val="24"/>
              </w:rPr>
              <w:t>）作为智慧大脑系统及其他智能能力的运行支撑与调用枢纽；</w:t>
            </w:r>
          </w:p>
          <w:p>
            <w:pPr>
              <w:pStyle w:val="null3"/>
              <w:ind w:left="420"/>
              <w:jc w:val="both"/>
            </w:pPr>
            <w:r>
              <w:rPr>
                <w:sz w:val="24"/>
              </w:rPr>
              <w:t>（</w:t>
            </w:r>
            <w:r>
              <w:rPr>
                <w:sz w:val="24"/>
              </w:rPr>
              <w:t>4</w:t>
            </w:r>
            <w:r>
              <w:rPr>
                <w:sz w:val="24"/>
              </w:rPr>
              <w:t>）平台应具备长期运行、持续扩展与能力演进支撑能力。</w:t>
            </w:r>
          </w:p>
          <w:p>
            <w:pPr>
              <w:pStyle w:val="null3"/>
              <w:ind w:firstLine="480"/>
              <w:jc w:val="both"/>
            </w:pPr>
            <w:r>
              <w:rPr>
                <w:sz w:val="24"/>
              </w:rPr>
              <w:t xml:space="preserve">2.2.2 </w:t>
            </w:r>
            <w:r>
              <w:rPr>
                <w:sz w:val="24"/>
              </w:rPr>
              <w:t>中枢平台核心能力要求</w:t>
            </w:r>
          </w:p>
          <w:p>
            <w:pPr>
              <w:pStyle w:val="null3"/>
              <w:ind w:firstLine="480"/>
              <w:jc w:val="both"/>
            </w:pPr>
            <w:r>
              <w:rPr>
                <w:sz w:val="24"/>
              </w:rPr>
              <w:t>中枢平台至少应具备以下能力：</w:t>
            </w:r>
          </w:p>
          <w:p>
            <w:pPr>
              <w:pStyle w:val="null3"/>
              <w:ind w:firstLine="480"/>
              <w:jc w:val="both"/>
            </w:pPr>
            <w:r>
              <w:rPr>
                <w:sz w:val="24"/>
              </w:rPr>
              <w:t>（</w:t>
            </w:r>
            <w:r>
              <w:rPr>
                <w:sz w:val="24"/>
              </w:rPr>
              <w:t>1</w:t>
            </w:r>
            <w:r>
              <w:rPr>
                <w:sz w:val="24"/>
              </w:rPr>
              <w:t>）统一数据接入与服务化能力</w:t>
            </w:r>
          </w:p>
          <w:p>
            <w:pPr>
              <w:pStyle w:val="null3"/>
              <w:ind w:firstLine="480"/>
              <w:jc w:val="both"/>
            </w:pPr>
            <w:r>
              <w:rPr>
                <w:sz w:val="24"/>
              </w:rPr>
              <w:t>①支持院内各业务系统的数据接入、同步与服务化输出；</w:t>
            </w:r>
          </w:p>
          <w:p>
            <w:pPr>
              <w:pStyle w:val="null3"/>
              <w:ind w:firstLine="480"/>
              <w:jc w:val="both"/>
            </w:pPr>
            <w:r>
              <w:rPr>
                <w:sz w:val="24"/>
              </w:rPr>
              <w:t>②支持主数据管理、数据标准统一及数据口径一致性控制；</w:t>
            </w:r>
          </w:p>
          <w:p>
            <w:pPr>
              <w:pStyle w:val="null3"/>
              <w:ind w:firstLine="480"/>
              <w:jc w:val="both"/>
            </w:pPr>
            <w:r>
              <w:rPr>
                <w:sz w:val="24"/>
              </w:rPr>
              <w:t>③支持数据服务注册、调用与权限控制。</w:t>
            </w:r>
          </w:p>
          <w:p>
            <w:pPr>
              <w:pStyle w:val="null3"/>
              <w:ind w:firstLine="480"/>
              <w:jc w:val="both"/>
            </w:pPr>
            <w:r>
              <w:rPr>
                <w:sz w:val="24"/>
              </w:rPr>
              <w:t>（</w:t>
            </w:r>
            <w:r>
              <w:rPr>
                <w:sz w:val="24"/>
              </w:rPr>
              <w:t>2</w:t>
            </w:r>
            <w:r>
              <w:rPr>
                <w:sz w:val="24"/>
              </w:rPr>
              <w:t>）跨系统业务流程整合与运行监控能力</w:t>
            </w:r>
          </w:p>
          <w:p>
            <w:pPr>
              <w:pStyle w:val="null3"/>
              <w:ind w:left="150" w:firstLine="480"/>
              <w:jc w:val="both"/>
            </w:pPr>
            <w:r>
              <w:rPr>
                <w:sz w:val="24"/>
              </w:rPr>
              <w:t>①支持跨系统业务流程的整合、发布与运行；</w:t>
            </w:r>
          </w:p>
          <w:p>
            <w:pPr>
              <w:pStyle w:val="null3"/>
              <w:ind w:left="150" w:firstLine="480"/>
              <w:jc w:val="both"/>
            </w:pPr>
            <w:r>
              <w:rPr>
                <w:sz w:val="24"/>
              </w:rPr>
              <w:t>②支持流程状态监控、异常提示与运行日志记录。</w:t>
            </w:r>
          </w:p>
          <w:p>
            <w:pPr>
              <w:pStyle w:val="null3"/>
              <w:ind w:firstLine="480"/>
              <w:jc w:val="both"/>
            </w:pPr>
            <w:r>
              <w:rPr>
                <w:sz w:val="24"/>
              </w:rPr>
              <w:t>（</w:t>
            </w:r>
            <w:r>
              <w:rPr>
                <w:sz w:val="24"/>
              </w:rPr>
              <w:t>3</w:t>
            </w:r>
            <w:r>
              <w:rPr>
                <w:sz w:val="24"/>
              </w:rPr>
              <w:t>）统一身份认证与权限集中管理能力</w:t>
            </w:r>
          </w:p>
          <w:p>
            <w:pPr>
              <w:pStyle w:val="null3"/>
              <w:ind w:left="150" w:firstLine="480"/>
              <w:jc w:val="both"/>
            </w:pPr>
            <w:r>
              <w:rPr>
                <w:sz w:val="24"/>
              </w:rPr>
              <w:t>①支持统一身份认证（</w:t>
            </w:r>
            <w:r>
              <w:rPr>
                <w:sz w:val="24"/>
              </w:rPr>
              <w:t>SSO</w:t>
            </w:r>
            <w:r>
              <w:rPr>
                <w:sz w:val="24"/>
              </w:rPr>
              <w:t>）与用户集中管理；</w:t>
            </w:r>
          </w:p>
          <w:p>
            <w:pPr>
              <w:pStyle w:val="null3"/>
              <w:ind w:left="150" w:firstLine="480"/>
              <w:jc w:val="both"/>
            </w:pPr>
            <w:r>
              <w:rPr>
                <w:sz w:val="24"/>
              </w:rPr>
              <w:t>②支持基于角色的权限分级与访问控制；</w:t>
            </w:r>
          </w:p>
          <w:p>
            <w:pPr>
              <w:pStyle w:val="null3"/>
              <w:ind w:left="150" w:firstLine="480"/>
              <w:jc w:val="both"/>
            </w:pPr>
            <w:r>
              <w:rPr>
                <w:sz w:val="24"/>
              </w:rPr>
              <w:t>③支持对系统操作与数据访问行为的审计与追溯。</w:t>
            </w:r>
          </w:p>
          <w:p>
            <w:pPr>
              <w:pStyle w:val="null3"/>
              <w:ind w:firstLine="480"/>
              <w:jc w:val="both"/>
            </w:pPr>
            <w:r>
              <w:rPr>
                <w:sz w:val="24"/>
              </w:rPr>
              <w:t>（</w:t>
            </w:r>
            <w:r>
              <w:rPr>
                <w:sz w:val="24"/>
              </w:rPr>
              <w:t>4</w:t>
            </w:r>
            <w:r>
              <w:rPr>
                <w:sz w:val="24"/>
              </w:rPr>
              <w:t>）能力调用与运行支撑能力</w:t>
            </w:r>
          </w:p>
          <w:p>
            <w:pPr>
              <w:pStyle w:val="null3"/>
              <w:ind w:left="150" w:firstLine="480"/>
              <w:jc w:val="both"/>
            </w:pPr>
            <w:r>
              <w:rPr>
                <w:sz w:val="24"/>
              </w:rPr>
              <w:t>①支持为智慧大脑系统及其他智能服务提供标准化调用接口；</w:t>
            </w:r>
          </w:p>
          <w:p>
            <w:pPr>
              <w:pStyle w:val="null3"/>
              <w:ind w:left="150" w:firstLine="480"/>
              <w:jc w:val="both"/>
            </w:pPr>
            <w:r>
              <w:rPr>
                <w:sz w:val="24"/>
              </w:rPr>
              <w:t>②支持将外部智能服务作为“能力节点”嵌入既有业务流程；</w:t>
            </w:r>
          </w:p>
          <w:p>
            <w:pPr>
              <w:pStyle w:val="null3"/>
              <w:ind w:left="150" w:firstLine="480"/>
              <w:jc w:val="both"/>
            </w:pPr>
            <w:r>
              <w:rPr>
                <w:sz w:val="24"/>
              </w:rPr>
              <w:t>③中枢平台仅对调用过程、运行状态与接口可用性负责，不对智能结果本身负责。</w:t>
            </w:r>
          </w:p>
          <w:p>
            <w:pPr>
              <w:pStyle w:val="null3"/>
              <w:ind w:firstLine="480"/>
              <w:jc w:val="both"/>
            </w:pPr>
            <w:r>
              <w:rPr>
                <w:sz w:val="24"/>
              </w:rPr>
              <w:t xml:space="preserve">2.2.3 </w:t>
            </w:r>
            <w:r>
              <w:rPr>
                <w:sz w:val="24"/>
              </w:rPr>
              <w:t>运行监控与可审计要求</w:t>
            </w:r>
          </w:p>
          <w:p>
            <w:pPr>
              <w:pStyle w:val="null3"/>
              <w:ind w:left="150" w:firstLine="480"/>
              <w:jc w:val="both"/>
            </w:pPr>
            <w:r>
              <w:rPr>
                <w:sz w:val="24"/>
              </w:rPr>
              <w:t>①中枢平台应具备统一的运行日志、操作日志与审计日志管理能力；</w:t>
            </w:r>
          </w:p>
          <w:p>
            <w:pPr>
              <w:pStyle w:val="null3"/>
              <w:ind w:left="150" w:firstLine="480"/>
              <w:jc w:val="both"/>
            </w:pPr>
            <w:r>
              <w:rPr>
                <w:sz w:val="24"/>
              </w:rPr>
              <w:t>②系统操作、流程执行、服务调用过程应支持全程留痕；</w:t>
            </w:r>
          </w:p>
          <w:p>
            <w:pPr>
              <w:pStyle w:val="null3"/>
              <w:ind w:left="150" w:firstLine="480"/>
              <w:jc w:val="both"/>
            </w:pPr>
            <w:r>
              <w:rPr>
                <w:sz w:val="24"/>
              </w:rPr>
              <w:t>③日志应支持按时间、用户、系统、流程等维度进行查询与回溯；</w:t>
            </w:r>
          </w:p>
          <w:p>
            <w:pPr>
              <w:pStyle w:val="null3"/>
              <w:ind w:left="150" w:firstLine="480"/>
              <w:jc w:val="both"/>
            </w:pPr>
            <w:r>
              <w:rPr>
                <w:sz w:val="24"/>
              </w:rPr>
              <w:t>④审计范围限于平台运行与调用行为，不包含智能模型内部运行逻辑。</w:t>
            </w:r>
          </w:p>
          <w:p>
            <w:pPr>
              <w:pStyle w:val="null3"/>
              <w:ind w:firstLine="482"/>
              <w:jc w:val="both"/>
            </w:pPr>
            <w:r>
              <w:rPr>
                <w:sz w:val="24"/>
                <w:b/>
              </w:rPr>
              <w:t>2.3</w:t>
            </w:r>
            <w:r>
              <w:rPr>
                <w:sz w:val="24"/>
                <w:b/>
              </w:rPr>
              <w:t>智慧大脑系统与智能服务运行要求</w:t>
            </w:r>
          </w:p>
          <w:p>
            <w:pPr>
              <w:pStyle w:val="null3"/>
              <w:ind w:firstLine="480"/>
              <w:jc w:val="both"/>
            </w:pPr>
            <w:r>
              <w:rPr>
                <w:sz w:val="24"/>
              </w:rPr>
              <w:t>2.3.1</w:t>
            </w:r>
            <w:r>
              <w:rPr>
                <w:sz w:val="24"/>
              </w:rPr>
              <w:t>中标供应商应建设医院级智慧大脑系统，作为智能模型与智能体统一运行、管理与调度的平台；</w:t>
            </w:r>
          </w:p>
          <w:p>
            <w:pPr>
              <w:pStyle w:val="null3"/>
              <w:ind w:firstLine="480"/>
              <w:jc w:val="both"/>
            </w:pPr>
            <w:r>
              <w:rPr>
                <w:sz w:val="24"/>
              </w:rPr>
              <w:t>2.3.2</w:t>
            </w:r>
            <w:r>
              <w:rPr>
                <w:sz w:val="24"/>
              </w:rPr>
              <w:t>智慧大脑系统应支持模型注册、部署、运行、版本管理、权限控制及下线管理等全生命周期管理功能；</w:t>
            </w:r>
          </w:p>
          <w:p>
            <w:pPr>
              <w:pStyle w:val="null3"/>
              <w:ind w:firstLine="480"/>
              <w:jc w:val="both"/>
            </w:pPr>
            <w:r>
              <w:rPr>
                <w:sz w:val="24"/>
              </w:rPr>
              <w:t>2.3.3</w:t>
            </w:r>
            <w:r>
              <w:rPr>
                <w:sz w:val="24"/>
              </w:rPr>
              <w:t>模型运行过程中应支持运行状态监控、结果回溯及人工干预，不得形成不可解释、不可控制（如：采纳</w:t>
            </w:r>
            <w:r>
              <w:rPr>
                <w:sz w:val="24"/>
              </w:rPr>
              <w:t>/</w:t>
            </w:r>
            <w:r>
              <w:rPr>
                <w:sz w:val="24"/>
              </w:rPr>
              <w:t>否决</w:t>
            </w:r>
            <w:r>
              <w:rPr>
                <w:sz w:val="24"/>
              </w:rPr>
              <w:t>/</w:t>
            </w:r>
            <w:r>
              <w:rPr>
                <w:sz w:val="24"/>
              </w:rPr>
              <w:t>修正）的自动决策机制；</w:t>
            </w:r>
          </w:p>
          <w:p>
            <w:pPr>
              <w:pStyle w:val="null3"/>
              <w:ind w:firstLine="480"/>
              <w:jc w:val="both"/>
            </w:pPr>
            <w:r>
              <w:rPr>
                <w:sz w:val="24"/>
              </w:rPr>
              <w:t>2.3.4</w:t>
            </w:r>
            <w:r>
              <w:rPr>
                <w:sz w:val="24"/>
              </w:rPr>
              <w:t>智能能力应嵌入医院业务流程或管理场景，不得仅以独立演示系统或实验性工具形式交付；</w:t>
            </w:r>
          </w:p>
          <w:p>
            <w:pPr>
              <w:pStyle w:val="null3"/>
              <w:ind w:firstLine="480"/>
              <w:jc w:val="both"/>
            </w:pPr>
            <w:r>
              <w:rPr>
                <w:sz w:val="24"/>
              </w:rPr>
              <w:t>2.3.5</w:t>
            </w:r>
            <w:r>
              <w:rPr>
                <w:sz w:val="24"/>
              </w:rPr>
              <w:t>首期应围绕医院高频、典型业务场景完成若干智能服务部署，具体智能体类型及应用场景由采购人确认。</w:t>
            </w:r>
          </w:p>
          <w:p>
            <w:pPr>
              <w:pStyle w:val="null3"/>
              <w:ind w:firstLine="482"/>
              <w:jc w:val="both"/>
            </w:pPr>
            <w:r>
              <w:rPr>
                <w:sz w:val="24"/>
                <w:b/>
              </w:rPr>
              <w:t>2.4</w:t>
            </w:r>
            <w:r>
              <w:rPr>
                <w:sz w:val="24"/>
                <w:b/>
              </w:rPr>
              <w:t>数据治理与指标体系建设服务要求</w:t>
            </w:r>
          </w:p>
          <w:p>
            <w:pPr>
              <w:pStyle w:val="null3"/>
              <w:ind w:firstLine="480"/>
              <w:jc w:val="both"/>
            </w:pPr>
            <w:r>
              <w:rPr>
                <w:sz w:val="24"/>
              </w:rPr>
              <w:t>2.4.1</w:t>
            </w:r>
            <w:r>
              <w:rPr>
                <w:sz w:val="24"/>
              </w:rPr>
              <w:t>中标供应商应协助采购人建立统一的数据标准、指标口径与主数据管理体系，确保数据语义一致、口径统一；</w:t>
            </w:r>
          </w:p>
          <w:p>
            <w:pPr>
              <w:pStyle w:val="null3"/>
              <w:ind w:firstLine="480"/>
              <w:jc w:val="both"/>
            </w:pPr>
            <w:r>
              <w:rPr>
                <w:sz w:val="24"/>
              </w:rPr>
              <w:t>2.4.2</w:t>
            </w:r>
            <w:r>
              <w:rPr>
                <w:sz w:val="24"/>
              </w:rPr>
              <w:t>数据治理服务应覆盖数据接入、清洗、质量控制、服务化输出等全过程；</w:t>
            </w:r>
          </w:p>
          <w:p>
            <w:pPr>
              <w:pStyle w:val="null3"/>
              <w:ind w:firstLine="480"/>
              <w:jc w:val="both"/>
            </w:pPr>
            <w:r>
              <w:rPr>
                <w:sz w:val="24"/>
              </w:rPr>
              <w:t>2.4.3</w:t>
            </w:r>
            <w:r>
              <w:rPr>
                <w:sz w:val="24"/>
              </w:rPr>
              <w:t>数据服务应支持中枢平台、智慧大脑及智能体的稳定调用，不得出现数据来源不明、口径冲突等问题；</w:t>
            </w:r>
          </w:p>
          <w:p>
            <w:pPr>
              <w:pStyle w:val="null3"/>
              <w:ind w:firstLine="480"/>
              <w:jc w:val="both"/>
            </w:pPr>
            <w:r>
              <w:rPr>
                <w:sz w:val="24"/>
              </w:rPr>
              <w:t>2.4.4</w:t>
            </w:r>
            <w:r>
              <w:rPr>
                <w:sz w:val="24"/>
              </w:rPr>
              <w:t>数据使用过程应符合国家及行业关于医疗数据安全、隐私保护及合规管理的相关规定。</w:t>
            </w:r>
          </w:p>
          <w:p>
            <w:pPr>
              <w:pStyle w:val="null3"/>
              <w:ind w:firstLine="482"/>
              <w:jc w:val="both"/>
            </w:pPr>
            <w:r>
              <w:rPr>
                <w:sz w:val="24"/>
                <w:b/>
              </w:rPr>
              <w:t>2.5</w:t>
            </w:r>
            <w:r>
              <w:rPr>
                <w:sz w:val="24"/>
                <w:b/>
              </w:rPr>
              <w:t>医工协同机制与运行支撑服务要求</w:t>
            </w:r>
          </w:p>
          <w:p>
            <w:pPr>
              <w:pStyle w:val="null3"/>
              <w:ind w:firstLine="480"/>
              <w:jc w:val="both"/>
            </w:pPr>
            <w:r>
              <w:rPr>
                <w:sz w:val="24"/>
              </w:rPr>
              <w:t>2.5.1</w:t>
            </w:r>
            <w:r>
              <w:rPr>
                <w:sz w:val="24"/>
              </w:rPr>
              <w:t>中标供应商应协助采购人建立医工协同运行机制，明确医疗业务与技术支撑的协作模式；</w:t>
            </w:r>
          </w:p>
          <w:p>
            <w:pPr>
              <w:pStyle w:val="null3"/>
              <w:ind w:firstLine="480"/>
              <w:jc w:val="both"/>
            </w:pPr>
            <w:r>
              <w:rPr>
                <w:sz w:val="24"/>
              </w:rPr>
              <w:t>2.5.2</w:t>
            </w:r>
            <w:r>
              <w:rPr>
                <w:sz w:val="24"/>
              </w:rPr>
              <w:t>应支持“需求共建、方案共评、效果共调”的协同流程，形成可执行、可持续的协作机制；</w:t>
            </w:r>
          </w:p>
          <w:p>
            <w:pPr>
              <w:pStyle w:val="null3"/>
              <w:ind w:firstLine="480"/>
              <w:jc w:val="both"/>
            </w:pPr>
            <w:r>
              <w:rPr>
                <w:sz w:val="24"/>
              </w:rPr>
              <w:t>2.5.3</w:t>
            </w:r>
            <w:r>
              <w:rPr>
                <w:sz w:val="24"/>
              </w:rPr>
              <w:t>项目实施完成后，中标供应商应提供必要的运行支撑服务，包括但不限于平台运维支持、问题响应及运行优化建议；</w:t>
            </w:r>
          </w:p>
          <w:p>
            <w:pPr>
              <w:pStyle w:val="null3"/>
              <w:ind w:firstLine="480"/>
              <w:jc w:val="both"/>
            </w:pPr>
            <w:r>
              <w:rPr>
                <w:sz w:val="24"/>
              </w:rPr>
              <w:t>2.5.4</w:t>
            </w:r>
            <w:r>
              <w:rPr>
                <w:sz w:val="24"/>
              </w:rPr>
              <w:t>中标供应商应按采购人要求提供相关培训服务，确保医院相关人员具备平台使用与基本管理能力。</w:t>
            </w:r>
          </w:p>
          <w:p>
            <w:pPr>
              <w:pStyle w:val="null3"/>
              <w:ind w:firstLine="482"/>
              <w:jc w:val="both"/>
            </w:pPr>
            <w:r>
              <w:rPr>
                <w:sz w:val="24"/>
                <w:b/>
              </w:rPr>
              <w:t>2.6</w:t>
            </w:r>
            <w:r>
              <w:rPr>
                <w:sz w:val="24"/>
                <w:b/>
              </w:rPr>
              <w:t>其他要求</w:t>
            </w:r>
          </w:p>
          <w:p>
            <w:pPr>
              <w:pStyle w:val="null3"/>
              <w:ind w:firstLine="480"/>
              <w:jc w:val="both"/>
            </w:pPr>
            <w:r>
              <w:rPr>
                <w:sz w:val="24"/>
              </w:rPr>
              <w:t>2.6.1</w:t>
            </w:r>
            <w:r>
              <w:rPr>
                <w:sz w:val="24"/>
              </w:rPr>
              <w:t>中标供应商在项目实施过程中获取的业务数据、系统信息及相关资料，均属于采购人或相关权利主体，中标供应商应严格履行保密义务；</w:t>
            </w:r>
          </w:p>
          <w:p>
            <w:pPr>
              <w:pStyle w:val="null3"/>
              <w:ind w:firstLine="480"/>
              <w:jc w:val="both"/>
            </w:pPr>
            <w:r>
              <w:rPr>
                <w:sz w:val="24"/>
              </w:rPr>
              <w:t>2.6.2</w:t>
            </w:r>
            <w:r>
              <w:rPr>
                <w:sz w:val="24"/>
              </w:rPr>
              <w:t>项目交付成果中涉及的系统配置文档、运行文档及相关成果，其使用权归采购人所有；</w:t>
            </w:r>
          </w:p>
          <w:p>
            <w:pPr>
              <w:pStyle w:val="null3"/>
              <w:ind w:firstLine="480"/>
              <w:jc w:val="both"/>
            </w:pPr>
            <w:r>
              <w:rPr>
                <w:sz w:val="24"/>
              </w:rPr>
              <w:t>2.6.3</w:t>
            </w:r>
            <w:r>
              <w:rPr>
                <w:sz w:val="24"/>
              </w:rPr>
              <w:t>中标供应商应确保其提供的服务及成果不侵犯任何第三方的合法权益，如因此产生纠纷，由中标供应商自行承担相关责任。</w:t>
            </w:r>
          </w:p>
          <w:p>
            <w:pPr>
              <w:pStyle w:val="null3"/>
              <w:ind w:firstLine="482"/>
              <w:jc w:val="both"/>
            </w:pPr>
            <w:r>
              <w:rPr>
                <w:sz w:val="24"/>
                <w:b/>
              </w:rPr>
              <w:t>（三）采购服务技术及管理要求</w:t>
            </w:r>
          </w:p>
          <w:p>
            <w:pPr>
              <w:pStyle w:val="null3"/>
              <w:ind w:firstLine="482"/>
              <w:jc w:val="both"/>
            </w:pPr>
            <w:r>
              <w:rPr>
                <w:sz w:val="24"/>
                <w:b/>
              </w:rPr>
              <w:t>3.1</w:t>
            </w:r>
            <w:r>
              <w:rPr>
                <w:sz w:val="24"/>
                <w:b/>
              </w:rPr>
              <w:t>技术总体要求</w:t>
            </w:r>
          </w:p>
          <w:p>
            <w:pPr>
              <w:pStyle w:val="null3"/>
              <w:ind w:firstLine="480"/>
              <w:jc w:val="both"/>
            </w:pPr>
            <w:r>
              <w:rPr>
                <w:sz w:val="24"/>
              </w:rPr>
              <w:t>3.1.1</w:t>
            </w:r>
            <w:r>
              <w:rPr>
                <w:sz w:val="24"/>
              </w:rPr>
              <w:t>本项目技术方案应以“平台化、可运营、可持续演进”为总体目标，不得以单一系统集成或功能堆叠式方案替代；应形成可持续运行的能力平台体系，支撑多院区、多系统的统一治理与能力复用。</w:t>
            </w:r>
          </w:p>
          <w:p>
            <w:pPr>
              <w:pStyle w:val="null3"/>
              <w:ind w:firstLine="480"/>
              <w:jc w:val="both"/>
            </w:pPr>
            <w:r>
              <w:rPr>
                <w:sz w:val="24"/>
              </w:rPr>
              <w:t>3.1.2</w:t>
            </w:r>
            <w:r>
              <w:rPr>
                <w:sz w:val="24"/>
              </w:rPr>
              <w:t>技术方案应与采购人现有业务系统保持兼容</w:t>
            </w:r>
            <w:r>
              <w:rPr>
                <w:sz w:val="24"/>
              </w:rPr>
              <w:t>,</w:t>
            </w:r>
            <w:r>
              <w:rPr>
                <w:sz w:val="24"/>
              </w:rPr>
              <w:t>能更好的支撑医院已经实施的人工智能应用成果覆盖到更多使用务场景。实施及运行过程中应明确平台运行边界、能力范围与扩展机制，避免形成封闭、不可替代的技术路径依赖。</w:t>
            </w:r>
          </w:p>
          <w:p>
            <w:pPr>
              <w:pStyle w:val="null3"/>
              <w:ind w:firstLine="480"/>
              <w:jc w:val="both"/>
            </w:pPr>
            <w:r>
              <w:rPr>
                <w:sz w:val="24"/>
              </w:rPr>
              <w:t>3.1.3</w:t>
            </w:r>
            <w:r>
              <w:rPr>
                <w:sz w:val="24"/>
              </w:rPr>
              <w:t>中枢平台应支持人工智能大模型对既有系统业务能力的并行接入、标准化封装与统一承载；应支持人工智能数据工程的有效实施，建设院内高质量数据集建设与医疗垂直模型研发能力建设；在保障业务连续性与数据安全的前提下，支持人工智能技术在平台上的协同运行与有序演进。</w:t>
            </w:r>
          </w:p>
          <w:p>
            <w:pPr>
              <w:pStyle w:val="null3"/>
              <w:ind w:firstLine="480"/>
              <w:jc w:val="both"/>
            </w:pPr>
            <w:r>
              <w:rPr>
                <w:sz w:val="24"/>
              </w:rPr>
              <w:t>3.1.4</w:t>
            </w:r>
            <w:r>
              <w:rPr>
                <w:sz w:val="24"/>
              </w:rPr>
              <w:t>是否开展能力迁移、业务或重构，应结合医院实际运行效果与管理需求，由采购人统筹确定实施路径与节奏；对于功能重叠、能力老化或难以满足中长期发展需求的模块，可在项目实施过程中通过能力重构、流程重组或平台化承载等方式进行优化调整，但不要求一次性完成全部调整。</w:t>
            </w:r>
          </w:p>
          <w:p>
            <w:pPr>
              <w:pStyle w:val="null3"/>
              <w:ind w:firstLine="482"/>
              <w:jc w:val="both"/>
            </w:pPr>
            <w:r>
              <w:rPr>
                <w:sz w:val="24"/>
                <w:b/>
              </w:rPr>
              <w:t>3.2</w:t>
            </w:r>
            <w:r>
              <w:rPr>
                <w:sz w:val="24"/>
                <w:b/>
              </w:rPr>
              <w:t>可信与可控技术要求</w:t>
            </w:r>
          </w:p>
          <w:p>
            <w:pPr>
              <w:pStyle w:val="null3"/>
              <w:ind w:firstLine="480"/>
              <w:jc w:val="both"/>
            </w:pPr>
            <w:r>
              <w:rPr>
                <w:sz w:val="24"/>
              </w:rPr>
              <w:t>3.2.1</w:t>
            </w:r>
            <w:r>
              <w:rPr>
                <w:sz w:val="24"/>
              </w:rPr>
              <w:t>系统可控性要求</w:t>
            </w:r>
          </w:p>
          <w:p>
            <w:pPr>
              <w:pStyle w:val="null3"/>
              <w:ind w:firstLine="480"/>
              <w:jc w:val="both"/>
            </w:pPr>
            <w:r>
              <w:rPr>
                <w:sz w:val="24"/>
              </w:rPr>
              <w:t>（</w:t>
            </w:r>
            <w:r>
              <w:rPr>
                <w:sz w:val="24"/>
              </w:rPr>
              <w:t>1</w:t>
            </w:r>
            <w:r>
              <w:rPr>
                <w:sz w:val="24"/>
              </w:rPr>
              <w:t>）平台核心能力应部署于采购人指定的本地运行环境（含多院区部署要求），关键配置与运行参数可由采购人自主控制。生产运行阶段的系统整体可用性不低于</w:t>
            </w:r>
            <w:r>
              <w:rPr>
                <w:sz w:val="24"/>
              </w:rPr>
              <w:t>99.5%</w:t>
            </w:r>
            <w:r>
              <w:rPr>
                <w:sz w:val="24"/>
              </w:rPr>
              <w:t xml:space="preserve">（可用性按以下公式计算：可用性 </w:t>
            </w:r>
            <w:r>
              <w:rPr>
                <w:sz w:val="24"/>
              </w:rPr>
              <w:t>=</w:t>
            </w:r>
            <w:r>
              <w:rPr>
                <w:sz w:val="24"/>
              </w:rPr>
              <w:t xml:space="preserve">（统计周期内总运行时间 </w:t>
            </w:r>
            <w:r>
              <w:rPr>
                <w:sz w:val="24"/>
              </w:rPr>
              <w:t xml:space="preserve">- </w:t>
            </w:r>
            <w:r>
              <w:rPr>
                <w:sz w:val="24"/>
              </w:rPr>
              <w:t>故障累计时间）</w:t>
            </w:r>
            <w:r>
              <w:rPr>
                <w:sz w:val="24"/>
              </w:rPr>
              <w:t xml:space="preserve">/ </w:t>
            </w:r>
            <w:r>
              <w:rPr>
                <w:sz w:val="24"/>
              </w:rPr>
              <w:t>总运行时间 ×</w:t>
            </w:r>
            <w:r>
              <w:rPr>
                <w:sz w:val="24"/>
              </w:rPr>
              <w:t xml:space="preserve">100% </w:t>
            </w:r>
            <w:r>
              <w:rPr>
                <w:sz w:val="24"/>
              </w:rPr>
              <w:t>统计数据以平台监控系统记录为准）。</w:t>
            </w:r>
          </w:p>
          <w:p>
            <w:pPr>
              <w:pStyle w:val="null3"/>
              <w:ind w:firstLine="480"/>
              <w:jc w:val="both"/>
            </w:pPr>
            <w:r>
              <w:rPr>
                <w:sz w:val="24"/>
              </w:rPr>
              <w:t>（</w:t>
            </w:r>
            <w:r>
              <w:rPr>
                <w:sz w:val="24"/>
              </w:rPr>
              <w:t>2</w:t>
            </w:r>
            <w:r>
              <w:rPr>
                <w:sz w:val="24"/>
              </w:rPr>
              <w:t>）平台架构应支持模块化、组件化设计，关键能力可独立部署、升级或替换；应提供明确的组件边界与替换策略。</w:t>
            </w:r>
          </w:p>
          <w:p>
            <w:pPr>
              <w:pStyle w:val="null3"/>
              <w:ind w:firstLine="480"/>
              <w:jc w:val="both"/>
            </w:pPr>
            <w:r>
              <w:rPr>
                <w:sz w:val="24"/>
              </w:rPr>
              <w:t>（</w:t>
            </w:r>
            <w:r>
              <w:rPr>
                <w:sz w:val="24"/>
              </w:rPr>
              <w:t>3</w:t>
            </w:r>
            <w:r>
              <w:rPr>
                <w:sz w:val="24"/>
              </w:rPr>
              <w:t>）不得将核心运行能力依赖于不可审计、不可替换的外部平台或第三方托管服务；确需引入第三方组件的，应说明可替代方案与迁移路径。</w:t>
            </w:r>
          </w:p>
          <w:p>
            <w:pPr>
              <w:pStyle w:val="null3"/>
              <w:ind w:firstLine="480"/>
              <w:jc w:val="both"/>
            </w:pPr>
            <w:r>
              <w:rPr>
                <w:sz w:val="24"/>
              </w:rPr>
              <w:t>（</w:t>
            </w:r>
            <w:r>
              <w:rPr>
                <w:sz w:val="24"/>
              </w:rPr>
              <w:t>4</w:t>
            </w:r>
            <w:r>
              <w:rPr>
                <w:sz w:val="24"/>
              </w:rPr>
              <w:t>）平台应支持采购人对运行参数、服务调用、能力启停、灰度范围、版本回滚的自主控制。</w:t>
            </w:r>
          </w:p>
          <w:p>
            <w:pPr>
              <w:pStyle w:val="null3"/>
              <w:ind w:firstLine="480"/>
              <w:jc w:val="both"/>
            </w:pPr>
            <w:r>
              <w:rPr>
                <w:sz w:val="24"/>
              </w:rPr>
              <w:t>（</w:t>
            </w:r>
            <w:r>
              <w:rPr>
                <w:sz w:val="24"/>
              </w:rPr>
              <w:t>5</w:t>
            </w:r>
            <w:r>
              <w:rPr>
                <w:sz w:val="24"/>
              </w:rPr>
              <w:t>）核心能力模块应具备版本编号与发布管理机制，版本变更记录完整率应达到</w:t>
            </w:r>
            <w:r>
              <w:rPr>
                <w:sz w:val="24"/>
              </w:rPr>
              <w:t>100%</w:t>
            </w:r>
            <w:r>
              <w:rPr>
                <w:sz w:val="24"/>
              </w:rPr>
              <w:t>。</w:t>
            </w:r>
          </w:p>
          <w:p>
            <w:pPr>
              <w:pStyle w:val="null3"/>
              <w:ind w:firstLine="480"/>
              <w:jc w:val="both"/>
            </w:pPr>
            <w:r>
              <w:rPr>
                <w:sz w:val="24"/>
              </w:rPr>
              <w:t>3.2.2</w:t>
            </w:r>
            <w:r>
              <w:rPr>
                <w:sz w:val="24"/>
              </w:rPr>
              <w:t>运行可审计与可追溯要求</w:t>
            </w:r>
          </w:p>
          <w:p>
            <w:pPr>
              <w:pStyle w:val="null3"/>
              <w:ind w:firstLine="480"/>
              <w:jc w:val="both"/>
            </w:pPr>
            <w:r>
              <w:rPr>
                <w:sz w:val="24"/>
              </w:rPr>
              <w:t>（</w:t>
            </w:r>
            <w:r>
              <w:rPr>
                <w:sz w:val="24"/>
              </w:rPr>
              <w:t>1</w:t>
            </w:r>
            <w:r>
              <w:rPr>
                <w:sz w:val="24"/>
              </w:rPr>
              <w:t>）平台应具备统一日志管理与审计能力，至少包括运行日志、操作日志、审计日志三类，并支持集中查询与归档。</w:t>
            </w:r>
          </w:p>
          <w:p>
            <w:pPr>
              <w:pStyle w:val="null3"/>
              <w:ind w:firstLine="480"/>
              <w:jc w:val="both"/>
            </w:pPr>
            <w:r>
              <w:rPr>
                <w:sz w:val="24"/>
              </w:rPr>
              <w:t>（</w:t>
            </w:r>
            <w:r>
              <w:rPr>
                <w:sz w:val="24"/>
              </w:rPr>
              <w:t>2</w:t>
            </w:r>
            <w:r>
              <w:rPr>
                <w:sz w:val="24"/>
              </w:rPr>
              <w:t>）系统操作、服务调用、流程执行及智能服务触发过程应支持全程留痕；关键链路应具备统一追踪标识以支撑跨系统回溯。</w:t>
            </w:r>
          </w:p>
          <w:p>
            <w:pPr>
              <w:pStyle w:val="null3"/>
              <w:ind w:firstLine="480"/>
              <w:jc w:val="both"/>
            </w:pPr>
            <w:r>
              <w:rPr>
                <w:sz w:val="24"/>
              </w:rPr>
              <w:t>（</w:t>
            </w:r>
            <w:r>
              <w:rPr>
                <w:sz w:val="24"/>
              </w:rPr>
              <w:t>3</w:t>
            </w:r>
            <w:r>
              <w:rPr>
                <w:sz w:val="24"/>
              </w:rPr>
              <w:t>）运行日志应支持按时间、用户、业务类型、系统来源、流程</w:t>
            </w:r>
            <w:r>
              <w:rPr>
                <w:sz w:val="24"/>
              </w:rPr>
              <w:t>/</w:t>
            </w:r>
            <w:r>
              <w:rPr>
                <w:sz w:val="24"/>
              </w:rPr>
              <w:t>任务等维度进行查询；支持导出用于内审或监管检查。</w:t>
            </w:r>
          </w:p>
          <w:p>
            <w:pPr>
              <w:pStyle w:val="null3"/>
              <w:ind w:firstLine="480"/>
              <w:jc w:val="both"/>
            </w:pPr>
            <w:r>
              <w:rPr>
                <w:sz w:val="24"/>
              </w:rPr>
              <w:t>（</w:t>
            </w:r>
            <w:r>
              <w:rPr>
                <w:sz w:val="24"/>
              </w:rPr>
              <w:t>4</w:t>
            </w:r>
            <w:r>
              <w:rPr>
                <w:sz w:val="24"/>
              </w:rPr>
              <w:t>）关键业务操作及智能服务调用行为应具备责任主体可追溯能力；应记录操作主体、调用来源、执行时间、输入输出摘要与返回状态，形成完整的运行与审计责任链。</w:t>
            </w:r>
          </w:p>
          <w:p>
            <w:pPr>
              <w:pStyle w:val="null3"/>
              <w:ind w:firstLine="480"/>
              <w:jc w:val="both"/>
            </w:pPr>
            <w:r>
              <w:rPr>
                <w:sz w:val="24"/>
              </w:rPr>
              <w:t>（</w:t>
            </w:r>
            <w:r>
              <w:rPr>
                <w:sz w:val="24"/>
              </w:rPr>
              <w:t>5</w:t>
            </w:r>
            <w:r>
              <w:rPr>
                <w:sz w:val="24"/>
              </w:rPr>
              <w:t>）关键业务链路与高风险操作的日志记录追溯成功率应达到</w:t>
            </w:r>
            <w:r>
              <w:rPr>
                <w:sz w:val="24"/>
              </w:rPr>
              <w:t>100%</w:t>
            </w:r>
            <w:r>
              <w:rPr>
                <w:sz w:val="24"/>
              </w:rPr>
              <w:t>，不得存在关键链路缺失日志情况。日志数据保存期限不得少于</w:t>
            </w:r>
            <w:r>
              <w:rPr>
                <w:sz w:val="24"/>
              </w:rPr>
              <w:t>6</w:t>
            </w:r>
            <w:r>
              <w:rPr>
                <w:sz w:val="24"/>
              </w:rPr>
              <w:t>个月。</w:t>
            </w:r>
          </w:p>
          <w:p>
            <w:pPr>
              <w:pStyle w:val="null3"/>
              <w:ind w:firstLine="480"/>
              <w:jc w:val="both"/>
            </w:pPr>
            <w:r>
              <w:rPr>
                <w:sz w:val="24"/>
              </w:rPr>
              <w:t>3.2.3</w:t>
            </w:r>
            <w:r>
              <w:rPr>
                <w:sz w:val="24"/>
              </w:rPr>
              <w:t>智慧大脑与智能能力可控要求</w:t>
            </w:r>
          </w:p>
          <w:p>
            <w:pPr>
              <w:pStyle w:val="null3"/>
              <w:ind w:firstLine="480"/>
              <w:jc w:val="both"/>
            </w:pPr>
            <w:r>
              <w:rPr>
                <w:sz w:val="24"/>
              </w:rPr>
              <w:t>（</w:t>
            </w:r>
            <w:r>
              <w:rPr>
                <w:sz w:val="24"/>
              </w:rPr>
              <w:t>1</w:t>
            </w:r>
            <w:r>
              <w:rPr>
                <w:sz w:val="24"/>
              </w:rPr>
              <w:t>）智能模型与智能体应纳入统一管理与审计，不得以“黑盒服务”方式直接嵌入业务流程或绕开平台治理通道执行高风险动作。</w:t>
            </w:r>
          </w:p>
          <w:p>
            <w:pPr>
              <w:pStyle w:val="null3"/>
              <w:ind w:firstLine="480"/>
              <w:jc w:val="both"/>
            </w:pPr>
            <w:r>
              <w:rPr>
                <w:sz w:val="24"/>
              </w:rPr>
              <w:t>（</w:t>
            </w:r>
            <w:r>
              <w:rPr>
                <w:sz w:val="24"/>
              </w:rPr>
              <w:t>2</w:t>
            </w:r>
            <w:r>
              <w:rPr>
                <w:sz w:val="24"/>
              </w:rPr>
              <w:t>）智慧大脑系统应支持模型</w:t>
            </w:r>
            <w:r>
              <w:rPr>
                <w:sz w:val="24"/>
              </w:rPr>
              <w:t>/</w:t>
            </w:r>
            <w:r>
              <w:rPr>
                <w:sz w:val="24"/>
              </w:rPr>
              <w:t>智能体的版本管理、权限控制、运行监控与下线管理；中枢平台应提供必要的接口支撑与调用环境。</w:t>
            </w:r>
          </w:p>
          <w:p>
            <w:pPr>
              <w:pStyle w:val="null3"/>
              <w:ind w:firstLine="480"/>
              <w:jc w:val="both"/>
            </w:pPr>
            <w:r>
              <w:rPr>
                <w:sz w:val="24"/>
              </w:rPr>
              <w:t>（</w:t>
            </w:r>
            <w:r>
              <w:rPr>
                <w:sz w:val="24"/>
              </w:rPr>
              <w:t>3</w:t>
            </w:r>
            <w:r>
              <w:rPr>
                <w:sz w:val="24"/>
              </w:rPr>
              <w:t>）智能输出结果应支持人工干预、纠正或终止机制，不得形成不可控自动决策机制；涉及高风险场景应配置“人类在环</w:t>
            </w:r>
            <w:r>
              <w:rPr>
                <w:sz w:val="24"/>
              </w:rPr>
              <w:t>/</w:t>
            </w:r>
            <w:r>
              <w:rPr>
                <w:sz w:val="24"/>
              </w:rPr>
              <w:t>双人复核”等控制点（按采购人确认策略执行）。</w:t>
            </w:r>
          </w:p>
          <w:p>
            <w:pPr>
              <w:pStyle w:val="null3"/>
              <w:ind w:firstLine="480"/>
              <w:jc w:val="both"/>
            </w:pPr>
            <w:r>
              <w:rPr>
                <w:sz w:val="24"/>
              </w:rPr>
              <w:t>（</w:t>
            </w:r>
            <w:r>
              <w:rPr>
                <w:sz w:val="24"/>
              </w:rPr>
              <w:t>4</w:t>
            </w:r>
            <w:r>
              <w:rPr>
                <w:sz w:val="24"/>
              </w:rPr>
              <w:t>）模型运行状态、调用情况及效果反馈应由智慧大脑系统统一监测；中枢平台应支持对模型</w:t>
            </w:r>
            <w:r>
              <w:rPr>
                <w:sz w:val="24"/>
              </w:rPr>
              <w:t>/</w:t>
            </w:r>
            <w:r>
              <w:rPr>
                <w:sz w:val="24"/>
              </w:rPr>
              <w:t>智能体调用行为的日志记录、审计记录与运行状态采集。</w:t>
            </w:r>
          </w:p>
          <w:p>
            <w:pPr>
              <w:pStyle w:val="null3"/>
              <w:ind w:firstLine="480"/>
              <w:jc w:val="both"/>
            </w:pPr>
            <w:r>
              <w:rPr>
                <w:sz w:val="24"/>
              </w:rPr>
              <w:t>（</w:t>
            </w:r>
            <w:r>
              <w:rPr>
                <w:sz w:val="24"/>
              </w:rPr>
              <w:t>5</w:t>
            </w:r>
            <w:r>
              <w:rPr>
                <w:sz w:val="24"/>
              </w:rPr>
              <w:t>）平台核心服务调用成功率不低于</w:t>
            </w:r>
            <w:r>
              <w:rPr>
                <w:sz w:val="24"/>
              </w:rPr>
              <w:t>99%</w:t>
            </w:r>
            <w:r>
              <w:rPr>
                <w:sz w:val="24"/>
              </w:rPr>
              <w:t>。所有模型与智能体必须纳入注册中心统一管理，注册率应达到</w:t>
            </w:r>
            <w:r>
              <w:rPr>
                <w:sz w:val="24"/>
              </w:rPr>
              <w:t>100%</w:t>
            </w:r>
            <w:r>
              <w:rPr>
                <w:sz w:val="24"/>
              </w:rPr>
              <w:t>。</w:t>
            </w:r>
          </w:p>
          <w:p>
            <w:pPr>
              <w:pStyle w:val="null3"/>
              <w:ind w:firstLine="480"/>
              <w:jc w:val="both"/>
            </w:pPr>
            <w:r>
              <w:rPr>
                <w:sz w:val="24"/>
              </w:rPr>
              <w:t>3.2.4</w:t>
            </w:r>
            <w:r>
              <w:rPr>
                <w:sz w:val="24"/>
              </w:rPr>
              <w:t>本土</w:t>
            </w:r>
            <w:r>
              <w:rPr>
                <w:sz w:val="24"/>
              </w:rPr>
              <w:t>化与开源可控技术体系要求</w:t>
            </w:r>
          </w:p>
          <w:p>
            <w:pPr>
              <w:pStyle w:val="null3"/>
              <w:ind w:firstLine="480"/>
              <w:jc w:val="both"/>
            </w:pPr>
            <w:r>
              <w:rPr>
                <w:sz w:val="24"/>
              </w:rPr>
              <w:t>（</w:t>
            </w:r>
            <w:r>
              <w:rPr>
                <w:sz w:val="24"/>
              </w:rPr>
              <w:t>1</w:t>
            </w:r>
            <w:r>
              <w:rPr>
                <w:sz w:val="24"/>
              </w:rPr>
              <w:t>）本项目中枢系统、协同平台及智慧大脑系统的技术底座，应坚持全栈可控、可替代、可持续的建设原则，构建</w:t>
            </w:r>
            <w:r>
              <w:rPr>
                <w:sz w:val="24"/>
              </w:rPr>
              <w:t>本土</w:t>
            </w:r>
            <w:r>
              <w:rPr>
                <w:sz w:val="24"/>
              </w:rPr>
              <w:t>化支撑体系与开源可控技术体系相结合的总体技术路线。</w:t>
            </w:r>
          </w:p>
          <w:p>
            <w:pPr>
              <w:pStyle w:val="null3"/>
              <w:ind w:firstLine="480"/>
              <w:jc w:val="both"/>
            </w:pPr>
            <w:r>
              <w:rPr>
                <w:sz w:val="24"/>
              </w:rPr>
              <w:t>（</w:t>
            </w:r>
            <w:r>
              <w:rPr>
                <w:sz w:val="24"/>
              </w:rPr>
              <w:t>2</w:t>
            </w:r>
            <w:r>
              <w:rPr>
                <w:sz w:val="24"/>
              </w:rPr>
              <w:t>）在不影响现有系统稳定运行的前提下，平台核心技术组件在操作系统、数据库、编程语言等关键基础技术层面，应优先采用</w:t>
            </w:r>
            <w:r>
              <w:rPr>
                <w:sz w:val="24"/>
              </w:rPr>
              <w:t>本土</w:t>
            </w:r>
            <w:r>
              <w:rPr>
                <w:sz w:val="24"/>
              </w:rPr>
              <w:t>化或开源可控技术体系。</w:t>
            </w:r>
          </w:p>
          <w:p>
            <w:pPr>
              <w:pStyle w:val="null3"/>
              <w:ind w:firstLine="480"/>
              <w:jc w:val="both"/>
            </w:pPr>
            <w:r>
              <w:rPr>
                <w:sz w:val="24"/>
              </w:rPr>
              <w:t>（</w:t>
            </w:r>
            <w:r>
              <w:rPr>
                <w:sz w:val="24"/>
              </w:rPr>
              <w:t>3</w:t>
            </w:r>
            <w:r>
              <w:rPr>
                <w:sz w:val="24"/>
              </w:rPr>
              <w:t>）技术架构设计应避免对不可审计、不可替换的封闭源代码产品或外部服务形成深度依赖，不得将中枢系统或智慧大脑的核心运行能力绑定于单一厂商专有平台。</w:t>
            </w:r>
          </w:p>
          <w:p>
            <w:pPr>
              <w:pStyle w:val="null3"/>
              <w:ind w:firstLine="480"/>
              <w:jc w:val="both"/>
            </w:pPr>
            <w:r>
              <w:rPr>
                <w:sz w:val="24"/>
              </w:rPr>
              <w:t>（</w:t>
            </w:r>
            <w:r>
              <w:rPr>
                <w:sz w:val="24"/>
              </w:rPr>
              <w:t>4</w:t>
            </w:r>
            <w:r>
              <w:rPr>
                <w:sz w:val="24"/>
              </w:rPr>
              <w:t>）对采用的开源技术组件，中标供应商应确保技术来源清晰、许可合规、具备持续维护与支持能力，并支持源码级审计或等效可验证机制。</w:t>
            </w:r>
          </w:p>
          <w:p>
            <w:pPr>
              <w:pStyle w:val="null3"/>
              <w:ind w:firstLine="480"/>
              <w:jc w:val="both"/>
            </w:pPr>
            <w:r>
              <w:rPr>
                <w:sz w:val="24"/>
              </w:rPr>
              <w:t>（</w:t>
            </w:r>
            <w:r>
              <w:rPr>
                <w:sz w:val="24"/>
              </w:rPr>
              <w:t>5</w:t>
            </w:r>
            <w:r>
              <w:rPr>
                <w:sz w:val="24"/>
              </w:rPr>
              <w:t>）对采用的</w:t>
            </w:r>
            <w:r>
              <w:rPr>
                <w:sz w:val="24"/>
              </w:rPr>
              <w:t>本土</w:t>
            </w:r>
            <w:r>
              <w:rPr>
                <w:sz w:val="24"/>
              </w:rPr>
              <w:t>化技术组件，中标供应商应说明部署方式、运行角色及可替代方案，确保后续运行或升级不形成路径锁定风险。</w:t>
            </w:r>
          </w:p>
          <w:p>
            <w:pPr>
              <w:pStyle w:val="null3"/>
              <w:ind w:firstLine="480"/>
              <w:jc w:val="both"/>
            </w:pPr>
            <w:r>
              <w:rPr>
                <w:sz w:val="24"/>
              </w:rPr>
              <w:t>（</w:t>
            </w:r>
            <w:r>
              <w:rPr>
                <w:sz w:val="24"/>
              </w:rPr>
              <w:t>6</w:t>
            </w:r>
            <w:r>
              <w:rPr>
                <w:sz w:val="24"/>
              </w:rPr>
              <w:t>）技术方案中应明确说明平台在源码可审计、部署可替换、版本可演进方面的设计考虑，包括关键组件替换策略、平台升级与迁移路径、与现有系统及未来扩展场景的兼容方式。</w:t>
            </w:r>
          </w:p>
          <w:p>
            <w:pPr>
              <w:pStyle w:val="null3"/>
              <w:ind w:firstLine="480"/>
              <w:jc w:val="both"/>
            </w:pPr>
            <w:r>
              <w:rPr>
                <w:sz w:val="24"/>
              </w:rPr>
              <w:t>（</w:t>
            </w:r>
            <w:r>
              <w:rPr>
                <w:sz w:val="24"/>
              </w:rPr>
              <w:t>7</w:t>
            </w:r>
            <w:r>
              <w:rPr>
                <w:sz w:val="24"/>
              </w:rPr>
              <w:t>）平台整体技术体系应保障采购人对系统架构、运行环境及技术演进路径的长期掌控能力，为智慧能力持续演进、安全运行及后续扩展提供可靠基础。</w:t>
            </w:r>
          </w:p>
          <w:p>
            <w:pPr>
              <w:pStyle w:val="null3"/>
              <w:ind w:firstLine="480"/>
              <w:jc w:val="both"/>
            </w:pPr>
            <w:r>
              <w:rPr>
                <w:sz w:val="24"/>
              </w:rPr>
              <w:t>（</w:t>
            </w:r>
            <w:r>
              <w:rPr>
                <w:sz w:val="24"/>
              </w:rPr>
              <w:t>8</w:t>
            </w:r>
            <w:r>
              <w:rPr>
                <w:sz w:val="24"/>
              </w:rPr>
              <w:t>）平台中可进行源码级审计或等效技术验证的比例不低于</w:t>
            </w:r>
            <w:r>
              <w:rPr>
                <w:sz w:val="24"/>
              </w:rPr>
              <w:t>80%</w:t>
            </w:r>
            <w:r>
              <w:rPr>
                <w:sz w:val="24"/>
              </w:rPr>
              <w:t>。（等效技术验证方式如：提供组件版本号、提供发布来源、提供官方校验哈希或提供下载来源证明等证明不存在远程强制授权或不可替代锁定机制的说明）</w:t>
            </w:r>
          </w:p>
          <w:p>
            <w:pPr>
              <w:pStyle w:val="null3"/>
              <w:ind w:firstLine="482"/>
              <w:jc w:val="both"/>
            </w:pPr>
            <w:r>
              <w:rPr>
                <w:sz w:val="24"/>
                <w:b/>
              </w:rPr>
              <w:t>3.3</w:t>
            </w:r>
            <w:r>
              <w:rPr>
                <w:sz w:val="24"/>
                <w:b/>
              </w:rPr>
              <w:t>智慧大脑与模型运行技术要求</w:t>
            </w:r>
          </w:p>
          <w:p>
            <w:pPr>
              <w:pStyle w:val="null3"/>
              <w:ind w:firstLine="480"/>
              <w:jc w:val="both"/>
            </w:pPr>
            <w:r>
              <w:rPr>
                <w:sz w:val="24"/>
              </w:rPr>
              <w:t>3.3.1</w:t>
            </w:r>
            <w:r>
              <w:rPr>
                <w:sz w:val="24"/>
              </w:rPr>
              <w:t>智慧大脑系统技术要求</w:t>
            </w:r>
          </w:p>
          <w:p>
            <w:pPr>
              <w:pStyle w:val="null3"/>
              <w:ind w:firstLine="480"/>
              <w:jc w:val="both"/>
            </w:pPr>
            <w:r>
              <w:rPr>
                <w:sz w:val="24"/>
              </w:rPr>
              <w:t>（</w:t>
            </w:r>
            <w:r>
              <w:rPr>
                <w:sz w:val="24"/>
              </w:rPr>
              <w:t>1</w:t>
            </w:r>
            <w:r>
              <w:rPr>
                <w:sz w:val="24"/>
              </w:rPr>
              <w:t>）智慧大脑系统应作为医院智能能力的统一运行与调度平台，支撑模型、智能体及相关智能服务的集中部署、统一调度与运行管理。</w:t>
            </w:r>
          </w:p>
          <w:p>
            <w:pPr>
              <w:pStyle w:val="null3"/>
              <w:ind w:firstLine="480"/>
              <w:jc w:val="both"/>
            </w:pPr>
            <w:r>
              <w:rPr>
                <w:sz w:val="24"/>
              </w:rPr>
              <w:t>（</w:t>
            </w:r>
            <w:r>
              <w:rPr>
                <w:sz w:val="24"/>
              </w:rPr>
              <w:t>2</w:t>
            </w:r>
            <w:r>
              <w:rPr>
                <w:sz w:val="24"/>
              </w:rPr>
              <w:t>）系统应支持模型注册、部署、运行、版本管理、权限控制与下线管理等功能，能够对模型及其运行实例进行统一管理。</w:t>
            </w:r>
          </w:p>
          <w:p>
            <w:pPr>
              <w:pStyle w:val="null3"/>
              <w:ind w:firstLine="480"/>
              <w:jc w:val="both"/>
            </w:pPr>
            <w:r>
              <w:rPr>
                <w:sz w:val="24"/>
              </w:rPr>
              <w:t>（</w:t>
            </w:r>
            <w:r>
              <w:rPr>
                <w:sz w:val="24"/>
              </w:rPr>
              <w:t>3</w:t>
            </w:r>
            <w:r>
              <w:rPr>
                <w:sz w:val="24"/>
              </w:rPr>
              <w:t>）智慧大脑系统应支持通过建立标准语义与合约，与可信中枢平台在数据、流程及权限层面实现协同运行，支持在中枢平台业务流程中对智能能力的受控调用。</w:t>
            </w:r>
          </w:p>
          <w:p>
            <w:pPr>
              <w:pStyle w:val="null3"/>
              <w:ind w:firstLine="480"/>
              <w:jc w:val="both"/>
            </w:pPr>
            <w:r>
              <w:rPr>
                <w:sz w:val="24"/>
              </w:rPr>
              <w:t>（</w:t>
            </w:r>
            <w:r>
              <w:rPr>
                <w:sz w:val="24"/>
              </w:rPr>
              <w:t>4</w:t>
            </w:r>
            <w:r>
              <w:rPr>
                <w:sz w:val="24"/>
              </w:rPr>
              <w:t>）智慧大脑系统应支持多模型并行运行，能够根据不同业务场景提供差异化的模型或智能能力调用服务，并支持效果反馈与持续优化闭环。</w:t>
            </w:r>
          </w:p>
          <w:p>
            <w:pPr>
              <w:pStyle w:val="null3"/>
              <w:ind w:firstLine="480"/>
              <w:jc w:val="both"/>
            </w:pPr>
            <w:r>
              <w:rPr>
                <w:sz w:val="24"/>
              </w:rPr>
              <w:t>（</w:t>
            </w:r>
            <w:r>
              <w:rPr>
                <w:sz w:val="24"/>
              </w:rPr>
              <w:t>5</w:t>
            </w:r>
            <w:r>
              <w:rPr>
                <w:sz w:val="24"/>
              </w:rPr>
              <w:t>）平台运行阶段整体可用性不低于</w:t>
            </w:r>
            <w:r>
              <w:rPr>
                <w:sz w:val="24"/>
              </w:rPr>
              <w:t>99.5%</w:t>
            </w:r>
            <w:r>
              <w:rPr>
                <w:sz w:val="24"/>
              </w:rPr>
              <w:t>。</w:t>
            </w:r>
          </w:p>
          <w:p>
            <w:pPr>
              <w:pStyle w:val="null3"/>
              <w:ind w:firstLine="480"/>
              <w:jc w:val="both"/>
            </w:pPr>
            <w:r>
              <w:rPr>
                <w:sz w:val="24"/>
              </w:rPr>
              <w:t>3.3.2</w:t>
            </w:r>
            <w:r>
              <w:rPr>
                <w:sz w:val="24"/>
              </w:rPr>
              <w:t>模型在地运行与数据合规要求</w:t>
            </w:r>
          </w:p>
          <w:p>
            <w:pPr>
              <w:pStyle w:val="null3"/>
              <w:ind w:firstLine="480"/>
              <w:jc w:val="both"/>
            </w:pPr>
            <w:r>
              <w:rPr>
                <w:sz w:val="24"/>
              </w:rPr>
              <w:t>（</w:t>
            </w:r>
            <w:r>
              <w:rPr>
                <w:sz w:val="24"/>
              </w:rPr>
              <w:t>1</w:t>
            </w:r>
            <w:r>
              <w:rPr>
                <w:sz w:val="24"/>
              </w:rPr>
              <w:t>）模型训练与推理运行应基于采购人指定的院内数据与算力环境，不得擅自将数据外传或用于本项目以外的任何用途。</w:t>
            </w:r>
          </w:p>
          <w:p>
            <w:pPr>
              <w:pStyle w:val="null3"/>
              <w:ind w:firstLine="480"/>
              <w:jc w:val="both"/>
            </w:pPr>
            <w:r>
              <w:rPr>
                <w:sz w:val="24"/>
              </w:rPr>
              <w:t>（</w:t>
            </w:r>
            <w:r>
              <w:rPr>
                <w:sz w:val="24"/>
              </w:rPr>
              <w:t>2</w:t>
            </w:r>
            <w:r>
              <w:rPr>
                <w:sz w:val="24"/>
              </w:rPr>
              <w:t>）模型运行过程中涉及的数据，应符合国家及行业关于医疗数据安全、隐私保护的相关规定；数据使用范围、处理方式及责任边界应具备明确说明。</w:t>
            </w:r>
          </w:p>
          <w:p>
            <w:pPr>
              <w:pStyle w:val="null3"/>
              <w:ind w:firstLine="480"/>
              <w:jc w:val="both"/>
            </w:pPr>
            <w:r>
              <w:rPr>
                <w:sz w:val="24"/>
              </w:rPr>
              <w:t>（</w:t>
            </w:r>
            <w:r>
              <w:rPr>
                <w:sz w:val="24"/>
              </w:rPr>
              <w:t>3</w:t>
            </w:r>
            <w:r>
              <w:rPr>
                <w:sz w:val="24"/>
              </w:rPr>
              <w:t>）模型训练、评测、推理及运行过程应支持形成必要的运行记录，为模型运行管理、合规审查与问题追溯提供依据。</w:t>
            </w:r>
          </w:p>
          <w:p>
            <w:pPr>
              <w:pStyle w:val="null3"/>
              <w:ind w:firstLine="480"/>
              <w:jc w:val="both"/>
            </w:pPr>
            <w:r>
              <w:rPr>
                <w:sz w:val="24"/>
              </w:rPr>
              <w:t>（</w:t>
            </w:r>
            <w:r>
              <w:rPr>
                <w:sz w:val="24"/>
              </w:rPr>
              <w:t>4</w:t>
            </w:r>
            <w:r>
              <w:rPr>
                <w:sz w:val="24"/>
              </w:rPr>
              <w:t>）模型发布应具备上线门禁、灰度发布与回滚机制；重大模型变更应经采购人评审通过后实施。</w:t>
            </w:r>
          </w:p>
          <w:p>
            <w:pPr>
              <w:pStyle w:val="null3"/>
              <w:ind w:firstLine="480"/>
              <w:jc w:val="both"/>
            </w:pPr>
            <w:r>
              <w:rPr>
                <w:sz w:val="24"/>
              </w:rPr>
              <w:t>（</w:t>
            </w:r>
            <w:r>
              <w:rPr>
                <w:sz w:val="24"/>
              </w:rPr>
              <w:t>5</w:t>
            </w:r>
            <w:r>
              <w:rPr>
                <w:sz w:val="24"/>
              </w:rPr>
              <w:t>）模型训练与推理数据来源可追溯率应达到</w:t>
            </w:r>
            <w:r>
              <w:rPr>
                <w:sz w:val="24"/>
              </w:rPr>
              <w:t>100%</w:t>
            </w:r>
            <w:r>
              <w:rPr>
                <w:sz w:val="24"/>
              </w:rPr>
              <w:t>。</w:t>
            </w:r>
          </w:p>
          <w:p>
            <w:pPr>
              <w:pStyle w:val="null3"/>
              <w:ind w:firstLine="482"/>
              <w:jc w:val="both"/>
            </w:pPr>
            <w:r>
              <w:rPr>
                <w:sz w:val="24"/>
                <w:b/>
              </w:rPr>
              <w:t>3.4</w:t>
            </w:r>
            <w:r>
              <w:rPr>
                <w:sz w:val="24"/>
                <w:b/>
              </w:rPr>
              <w:t>面向智慧医工协同的数据治理与数据能力技术要求</w:t>
            </w:r>
            <w:r>
              <w:rPr>
                <w:b/>
              </w:rPr>
              <w:t xml:space="preserve"> </w:t>
            </w:r>
          </w:p>
          <w:p>
            <w:pPr>
              <w:pStyle w:val="null3"/>
              <w:ind w:firstLine="480"/>
              <w:jc w:val="both"/>
            </w:pPr>
            <w:r>
              <w:rPr>
                <w:sz w:val="24"/>
              </w:rPr>
              <w:t>3.4.1</w:t>
            </w:r>
            <w:r>
              <w:rPr>
                <w:sz w:val="24"/>
              </w:rPr>
              <w:t>面向智慧医工协同的数据治理与数据能力要求</w:t>
            </w:r>
            <w:r>
              <w:rPr/>
              <w:t xml:space="preserve"> </w:t>
            </w:r>
          </w:p>
          <w:p>
            <w:pPr>
              <w:pStyle w:val="null3"/>
              <w:ind w:firstLine="480"/>
              <w:jc w:val="both"/>
            </w:pPr>
            <w:r>
              <w:rPr>
                <w:sz w:val="24"/>
              </w:rPr>
              <w:t>（</w:t>
            </w:r>
            <w:r>
              <w:rPr>
                <w:sz w:val="24"/>
              </w:rPr>
              <w:t>1</w:t>
            </w:r>
            <w:r>
              <w:rPr>
                <w:sz w:val="24"/>
              </w:rPr>
              <w:t>）中标供应商应协助采购人建立统一的数据标准、指标口径与主数据管理体系，确保数据语义一致、口径统一，并形成可维护、可演进的治理机制。</w:t>
            </w:r>
          </w:p>
          <w:p>
            <w:pPr>
              <w:pStyle w:val="null3"/>
              <w:ind w:firstLine="480"/>
              <w:jc w:val="both"/>
            </w:pPr>
            <w:r>
              <w:rPr>
                <w:sz w:val="24"/>
              </w:rPr>
              <w:t>（</w:t>
            </w:r>
            <w:r>
              <w:rPr>
                <w:sz w:val="24"/>
              </w:rPr>
              <w:t>2</w:t>
            </w:r>
            <w:r>
              <w:rPr>
                <w:sz w:val="24"/>
              </w:rPr>
              <w:t>）数据治理服务应覆盖数据接入、清洗、质量控制、服务化输出等全过程；治理成果应以数据服务、指标服务等形式封装，支撑中枢平台与智慧大脑的稳定调用。</w:t>
            </w:r>
          </w:p>
          <w:p>
            <w:pPr>
              <w:pStyle w:val="null3"/>
              <w:ind w:firstLine="480"/>
              <w:jc w:val="both"/>
            </w:pPr>
            <w:r>
              <w:rPr>
                <w:sz w:val="24"/>
              </w:rPr>
              <w:t>（</w:t>
            </w:r>
            <w:r>
              <w:rPr>
                <w:sz w:val="24"/>
              </w:rPr>
              <w:t>3</w:t>
            </w:r>
            <w:r>
              <w:rPr>
                <w:sz w:val="24"/>
              </w:rPr>
              <w:t>）应支持依托数据治理成果构建可复用的标准化训练</w:t>
            </w:r>
            <w:r>
              <w:rPr>
                <w:sz w:val="24"/>
              </w:rPr>
              <w:t>/</w:t>
            </w:r>
            <w:r>
              <w:rPr>
                <w:sz w:val="24"/>
              </w:rPr>
              <w:t>评测数据集，提供版本管理、使用记录与更新维护机制，满足模型工程化交付对数据可控性的要求。</w:t>
            </w:r>
          </w:p>
          <w:p>
            <w:pPr>
              <w:pStyle w:val="null3"/>
              <w:ind w:firstLine="480"/>
              <w:jc w:val="both"/>
            </w:pPr>
            <w:r>
              <w:rPr>
                <w:sz w:val="24"/>
              </w:rPr>
              <w:t>（</w:t>
            </w:r>
            <w:r>
              <w:rPr>
                <w:sz w:val="24"/>
              </w:rPr>
              <w:t>4</w:t>
            </w:r>
            <w:r>
              <w:rPr>
                <w:sz w:val="24"/>
              </w:rPr>
              <w:t>）数据能力建设应与采购人既有数据底座协同落地，不以新增基础设施为前提；应提供适配说明、运行监控与质量追溯机制。</w:t>
            </w:r>
          </w:p>
          <w:p>
            <w:pPr>
              <w:pStyle w:val="null3"/>
              <w:ind w:firstLine="480"/>
              <w:jc w:val="both"/>
            </w:pPr>
            <w:r>
              <w:rPr>
                <w:sz w:val="24"/>
              </w:rPr>
              <w:t>（</w:t>
            </w:r>
            <w:r>
              <w:rPr>
                <w:sz w:val="24"/>
              </w:rPr>
              <w:t>5</w:t>
            </w:r>
            <w:r>
              <w:rPr>
                <w:sz w:val="24"/>
              </w:rPr>
              <w:t>）面向智慧大脑与智能体能力调用的数据访问与业务操作，应通过统一的数据能力服务或平台工具接口实现，不得由模型直接访问业务系统数据库或执行未经治理的系统操作。应对相关能力调用建立统一的权限控制、调用记录，确保智能服务的行为可追溯、可限制、可管理。数据能力服务或工具接口服务调用成功率不低于</w:t>
            </w:r>
            <w:r>
              <w:rPr>
                <w:sz w:val="24"/>
              </w:rPr>
              <w:t>99%</w:t>
            </w:r>
            <w:r>
              <w:rPr>
                <w:sz w:val="24"/>
              </w:rPr>
              <w:t>。</w:t>
            </w:r>
          </w:p>
          <w:p>
            <w:pPr>
              <w:pStyle w:val="null3"/>
              <w:ind w:firstLine="480"/>
              <w:jc w:val="both"/>
            </w:pPr>
            <w:r>
              <w:rPr>
                <w:sz w:val="24"/>
              </w:rPr>
              <w:t>3.4.2</w:t>
            </w:r>
            <w:r>
              <w:rPr>
                <w:sz w:val="24"/>
              </w:rPr>
              <w:t>数据能力使用安全与访问控制要求</w:t>
            </w:r>
            <w:r>
              <w:rPr/>
              <w:t xml:space="preserve"> </w:t>
            </w:r>
          </w:p>
          <w:p>
            <w:pPr>
              <w:pStyle w:val="null3"/>
              <w:ind w:firstLine="480"/>
              <w:jc w:val="both"/>
            </w:pPr>
            <w:r>
              <w:rPr>
                <w:sz w:val="24"/>
              </w:rPr>
              <w:t>（</w:t>
            </w:r>
            <w:r>
              <w:rPr>
                <w:sz w:val="24"/>
              </w:rPr>
              <w:t>1</w:t>
            </w:r>
            <w:r>
              <w:rPr>
                <w:sz w:val="24"/>
              </w:rPr>
              <w:t>）平台应支持基于角色与业务场景的数据能力访问控制机制，对数据服务、指标服务及训练数据集的使用权限进行统一管理，确保数据使用符合最小授权原则。</w:t>
            </w:r>
          </w:p>
          <w:p>
            <w:pPr>
              <w:pStyle w:val="null3"/>
              <w:ind w:firstLine="480"/>
              <w:jc w:val="both"/>
            </w:pPr>
            <w:r>
              <w:rPr>
                <w:sz w:val="24"/>
              </w:rPr>
              <w:t>（</w:t>
            </w:r>
            <w:r>
              <w:rPr>
                <w:sz w:val="24"/>
              </w:rPr>
              <w:t>2</w:t>
            </w:r>
            <w:r>
              <w:rPr>
                <w:sz w:val="24"/>
              </w:rPr>
              <w:t>）数据能力在业务流程运行、智能服务调用及模型训练过程中的使用行为，应支持完整的运行日志记录与审计，用于运行管理、问题定位与合规审查。</w:t>
            </w:r>
          </w:p>
          <w:p>
            <w:pPr>
              <w:pStyle w:val="null3"/>
              <w:ind w:firstLine="480"/>
              <w:jc w:val="both"/>
            </w:pPr>
            <w:r>
              <w:rPr>
                <w:sz w:val="24"/>
              </w:rPr>
              <w:t>（</w:t>
            </w:r>
            <w:r>
              <w:rPr>
                <w:sz w:val="24"/>
              </w:rPr>
              <w:t>3</w:t>
            </w:r>
            <w:r>
              <w:rPr>
                <w:sz w:val="24"/>
              </w:rPr>
              <w:t>）平台应支持对异常数据调用、异常数据使用或异常训练行为进行识别与告警，保障数据能力在智慧医工协同与智能服务运行过程中的安全性与可控性。</w:t>
            </w:r>
          </w:p>
          <w:p>
            <w:pPr>
              <w:pStyle w:val="null3"/>
              <w:ind w:firstLine="482"/>
              <w:jc w:val="both"/>
            </w:pPr>
            <w:r>
              <w:rPr>
                <w:sz w:val="24"/>
                <w:b/>
              </w:rPr>
              <w:t>3.5</w:t>
            </w:r>
            <w:r>
              <w:rPr>
                <w:sz w:val="24"/>
                <w:b/>
              </w:rPr>
              <w:t>业务流程与智能服务嵌入技术要求</w:t>
            </w:r>
          </w:p>
          <w:p>
            <w:pPr>
              <w:pStyle w:val="null3"/>
              <w:ind w:firstLine="480"/>
              <w:jc w:val="both"/>
            </w:pPr>
            <w:r>
              <w:rPr>
                <w:sz w:val="24"/>
              </w:rPr>
              <w:t>3.5.1</w:t>
            </w:r>
            <w:r>
              <w:rPr>
                <w:sz w:val="24"/>
              </w:rPr>
              <w:t>技术方案应支持将智能服务以标准化方式嵌入医院既有业务流程，实现业务流程运行与智能能力调用的协同。</w:t>
            </w:r>
          </w:p>
          <w:p>
            <w:pPr>
              <w:pStyle w:val="null3"/>
              <w:ind w:firstLine="480"/>
              <w:jc w:val="both"/>
            </w:pPr>
            <w:r>
              <w:rPr>
                <w:sz w:val="24"/>
              </w:rPr>
              <w:t>3.5.2</w:t>
            </w:r>
            <w:r>
              <w:rPr>
                <w:sz w:val="24"/>
              </w:rPr>
              <w:t>业务流程应支持可配置管理方式，具备可视化管理与参数化调整能力，以适应业务场景逐步优化与管理能力提升要求。</w:t>
            </w:r>
          </w:p>
          <w:p>
            <w:pPr>
              <w:pStyle w:val="null3"/>
              <w:ind w:firstLine="480"/>
              <w:jc w:val="both"/>
            </w:pPr>
            <w:r>
              <w:rPr>
                <w:sz w:val="24"/>
              </w:rPr>
              <w:t>3.5.3</w:t>
            </w:r>
            <w:r>
              <w:rPr>
                <w:sz w:val="24"/>
              </w:rPr>
              <w:t>流程运行状态应支持实时监控，能够对流程执行、智能服务调用及异常情况进行识别与处理，保障业务流程的连续性与稳定性。</w:t>
            </w:r>
          </w:p>
          <w:p>
            <w:pPr>
              <w:pStyle w:val="null3"/>
              <w:ind w:firstLine="480"/>
              <w:jc w:val="both"/>
            </w:pPr>
            <w:r>
              <w:rPr>
                <w:sz w:val="24"/>
              </w:rPr>
              <w:t>3.5.4</w:t>
            </w:r>
            <w:r>
              <w:rPr>
                <w:sz w:val="24"/>
              </w:rPr>
              <w:t>智能服务应以辅助决策和能力支撑方式嵌入业务流程，不得替代医疗业务人员的法定职责或破坏原有业务责任边界；智能输出应支持人工确认或干预。</w:t>
            </w:r>
          </w:p>
          <w:p>
            <w:pPr>
              <w:pStyle w:val="null3"/>
              <w:ind w:firstLine="482"/>
              <w:jc w:val="both"/>
            </w:pPr>
            <w:r>
              <w:rPr>
                <w:sz w:val="24"/>
                <w:b/>
              </w:rPr>
              <w:t>3.6</w:t>
            </w:r>
            <w:r>
              <w:rPr>
                <w:sz w:val="24"/>
                <w:b/>
              </w:rPr>
              <w:t>系统架构与技术路线要求</w:t>
            </w:r>
          </w:p>
          <w:p>
            <w:pPr>
              <w:pStyle w:val="null3"/>
              <w:ind w:firstLine="480"/>
              <w:jc w:val="both"/>
            </w:pPr>
            <w:r>
              <w:rPr>
                <w:sz w:val="24"/>
              </w:rPr>
              <w:t>3.6.1</w:t>
            </w:r>
            <w:r>
              <w:rPr>
                <w:sz w:val="24"/>
              </w:rPr>
              <w:t>系统总体架构应符合平台化、服务化与模块化设计理念，支撑可信中枢平台、智慧大脑系统及相关能力的协同运行。</w:t>
            </w:r>
          </w:p>
          <w:p>
            <w:pPr>
              <w:pStyle w:val="null3"/>
              <w:ind w:firstLine="480"/>
              <w:jc w:val="both"/>
            </w:pPr>
            <w:r>
              <w:rPr>
                <w:sz w:val="24"/>
              </w:rPr>
              <w:t>3.6.2</w:t>
            </w:r>
            <w:r>
              <w:rPr>
                <w:sz w:val="24"/>
              </w:rPr>
              <w:t>技术架构应具备良好的扩展性与弹性，能够支持后续业务场景拓展、模型能力演进及智能服务规模化部署。</w:t>
            </w:r>
          </w:p>
          <w:p>
            <w:pPr>
              <w:pStyle w:val="null3"/>
              <w:ind w:firstLine="480"/>
              <w:jc w:val="both"/>
            </w:pPr>
            <w:r>
              <w:rPr>
                <w:sz w:val="24"/>
              </w:rPr>
              <w:t>3.6.3</w:t>
            </w:r>
            <w:r>
              <w:rPr>
                <w:sz w:val="24"/>
              </w:rPr>
              <w:t>技术方案应明确关键技术组件的选型原则，说明核心组件在部署、升级和替换方面的可行性，避免形成不可替代的技术路径依赖。</w:t>
            </w:r>
          </w:p>
          <w:p>
            <w:pPr>
              <w:pStyle w:val="null3"/>
              <w:ind w:firstLine="480"/>
              <w:jc w:val="both"/>
            </w:pPr>
            <w:r>
              <w:rPr>
                <w:sz w:val="24"/>
              </w:rPr>
              <w:t>3.6.4</w:t>
            </w:r>
            <w:r>
              <w:rPr>
                <w:sz w:val="24"/>
              </w:rPr>
              <w:t>鼓励采用成熟、稳定且具备持续演进能力的技术路线，合理使用</w:t>
            </w:r>
            <w:r>
              <w:rPr>
                <w:sz w:val="24"/>
              </w:rPr>
              <w:t>本土</w:t>
            </w:r>
            <w:r>
              <w:rPr>
                <w:sz w:val="24"/>
              </w:rPr>
              <w:t>化或开源可控技术体系，避免对单一厂商专有技术形成深度依赖。</w:t>
            </w:r>
          </w:p>
          <w:p>
            <w:pPr>
              <w:pStyle w:val="null3"/>
              <w:ind w:firstLine="482"/>
              <w:jc w:val="both"/>
            </w:pPr>
            <w:r>
              <w:rPr>
                <w:sz w:val="24"/>
                <w:b/>
              </w:rPr>
              <w:t>3.7</w:t>
            </w:r>
            <w:r>
              <w:rPr>
                <w:sz w:val="24"/>
                <w:b/>
              </w:rPr>
              <w:t>项目管理与实施管理要求</w:t>
            </w:r>
          </w:p>
          <w:p>
            <w:pPr>
              <w:pStyle w:val="null3"/>
              <w:ind w:firstLine="480"/>
              <w:jc w:val="both"/>
            </w:pPr>
            <w:r>
              <w:rPr>
                <w:sz w:val="24"/>
              </w:rPr>
              <w:t>3.7.1</w:t>
            </w:r>
            <w:r>
              <w:rPr>
                <w:sz w:val="24"/>
              </w:rPr>
              <w:t>项目管理机制要求</w:t>
            </w:r>
          </w:p>
          <w:p>
            <w:pPr>
              <w:pStyle w:val="null3"/>
              <w:ind w:firstLine="480"/>
              <w:jc w:val="both"/>
            </w:pPr>
            <w:r>
              <w:rPr>
                <w:sz w:val="24"/>
              </w:rPr>
              <w:t>（</w:t>
            </w:r>
            <w:r>
              <w:rPr>
                <w:sz w:val="24"/>
              </w:rPr>
              <w:t>1</w:t>
            </w:r>
            <w:r>
              <w:rPr>
                <w:sz w:val="24"/>
              </w:rPr>
              <w:t>）中标供应商应建立覆盖项目启动、实施、交付及运行支撑阶段的完整项目管理机制，确保项目实施过程可控、有序。</w:t>
            </w:r>
          </w:p>
          <w:p>
            <w:pPr>
              <w:pStyle w:val="null3"/>
              <w:ind w:firstLine="480"/>
              <w:jc w:val="both"/>
            </w:pPr>
            <w:r>
              <w:rPr>
                <w:sz w:val="24"/>
              </w:rPr>
              <w:t>（</w:t>
            </w:r>
            <w:r>
              <w:rPr>
                <w:sz w:val="24"/>
              </w:rPr>
              <w:t>2</w:t>
            </w:r>
            <w:r>
              <w:rPr>
                <w:sz w:val="24"/>
              </w:rPr>
              <w:t>）应明确项目负责人及实施团队成员，建立清晰的职责分工与沟通渠道。</w:t>
            </w:r>
          </w:p>
          <w:p>
            <w:pPr>
              <w:pStyle w:val="null3"/>
              <w:ind w:firstLine="480"/>
              <w:jc w:val="both"/>
            </w:pPr>
            <w:r>
              <w:rPr>
                <w:sz w:val="24"/>
              </w:rPr>
              <w:t>（</w:t>
            </w:r>
            <w:r>
              <w:rPr>
                <w:sz w:val="24"/>
              </w:rPr>
              <w:t>3</w:t>
            </w:r>
            <w:r>
              <w:rPr>
                <w:sz w:val="24"/>
              </w:rPr>
              <w:t>）项目实施应设置明确的阶段目标与里程碑节点，并形成相应的实施计划与成果交付安排。</w:t>
            </w:r>
          </w:p>
          <w:p>
            <w:pPr>
              <w:pStyle w:val="null3"/>
              <w:ind w:firstLine="480"/>
              <w:jc w:val="both"/>
            </w:pPr>
            <w:r>
              <w:rPr>
                <w:sz w:val="24"/>
              </w:rPr>
              <w:t>（</w:t>
            </w:r>
            <w:r>
              <w:rPr>
                <w:sz w:val="24"/>
              </w:rPr>
              <w:t>4</w:t>
            </w:r>
            <w:r>
              <w:rPr>
                <w:sz w:val="24"/>
              </w:rPr>
              <w:t>）项目实施过程中，应支持定期进展汇报、阶段评审及必要的实施调整，确保项目目标按期实现。</w:t>
            </w:r>
          </w:p>
          <w:p>
            <w:pPr>
              <w:pStyle w:val="null3"/>
              <w:ind w:firstLine="480"/>
              <w:jc w:val="both"/>
            </w:pPr>
            <w:r>
              <w:rPr>
                <w:sz w:val="24"/>
              </w:rPr>
              <w:t>3.7.2</w:t>
            </w:r>
            <w:r>
              <w:rPr>
                <w:sz w:val="24"/>
              </w:rPr>
              <w:t>医工协同与沟通机制要求</w:t>
            </w:r>
          </w:p>
          <w:p>
            <w:pPr>
              <w:pStyle w:val="null3"/>
              <w:ind w:firstLine="480"/>
              <w:jc w:val="both"/>
            </w:pPr>
            <w:r>
              <w:rPr>
                <w:sz w:val="24"/>
              </w:rPr>
              <w:t>（</w:t>
            </w:r>
            <w:r>
              <w:rPr>
                <w:sz w:val="24"/>
              </w:rPr>
              <w:t>1</w:t>
            </w:r>
            <w:r>
              <w:rPr>
                <w:sz w:val="24"/>
              </w:rPr>
              <w:t>）中标供应商应配合采购人建立常态化的医工协同工作机制，保障技术方案与医疗业务实际需求的有效衔接。</w:t>
            </w:r>
          </w:p>
          <w:p>
            <w:pPr>
              <w:pStyle w:val="null3"/>
              <w:ind w:firstLine="480"/>
              <w:jc w:val="both"/>
            </w:pPr>
            <w:r>
              <w:rPr>
                <w:sz w:val="24"/>
              </w:rPr>
              <w:t>（</w:t>
            </w:r>
            <w:r>
              <w:rPr>
                <w:sz w:val="24"/>
              </w:rPr>
              <w:t>2</w:t>
            </w:r>
            <w:r>
              <w:rPr>
                <w:sz w:val="24"/>
              </w:rPr>
              <w:t>）项目实施过程中，应确保医疗业务人员在需求确认、方案评审、试运行及优化调整等关键环节中的参与。</w:t>
            </w:r>
          </w:p>
          <w:p>
            <w:pPr>
              <w:pStyle w:val="null3"/>
              <w:ind w:firstLine="480"/>
              <w:jc w:val="both"/>
            </w:pPr>
            <w:r>
              <w:rPr>
                <w:sz w:val="24"/>
              </w:rPr>
              <w:t>（</w:t>
            </w:r>
            <w:r>
              <w:rPr>
                <w:sz w:val="24"/>
              </w:rPr>
              <w:t>3</w:t>
            </w:r>
            <w:r>
              <w:rPr>
                <w:sz w:val="24"/>
              </w:rPr>
              <w:t>）涉及技术方案、功能配置或实施路径调整的内容，应经采购人确认后实施。</w:t>
            </w:r>
          </w:p>
          <w:p>
            <w:pPr>
              <w:pStyle w:val="null3"/>
              <w:ind w:firstLine="480"/>
              <w:jc w:val="both"/>
            </w:pPr>
            <w:r>
              <w:rPr>
                <w:sz w:val="24"/>
              </w:rPr>
              <w:t>（</w:t>
            </w:r>
            <w:r>
              <w:rPr>
                <w:sz w:val="24"/>
              </w:rPr>
              <w:t>4</w:t>
            </w:r>
            <w:r>
              <w:rPr>
                <w:sz w:val="24"/>
              </w:rPr>
              <w:t>）项目实施应形成清晰的需求确认、变更管理、反馈与闭环优化机制，支撑智慧医工协同能力的持续完善。</w:t>
            </w:r>
          </w:p>
          <w:p>
            <w:pPr>
              <w:pStyle w:val="null3"/>
              <w:ind w:firstLine="480"/>
              <w:jc w:val="both"/>
            </w:pPr>
            <w:r>
              <w:rPr>
                <w:sz w:val="24"/>
              </w:rPr>
              <w:t xml:space="preserve">3.7.3 </w:t>
            </w:r>
            <w:r>
              <w:rPr>
                <w:sz w:val="24"/>
              </w:rPr>
              <w:t>项目人员要求</w:t>
            </w:r>
          </w:p>
          <w:p>
            <w:pPr>
              <w:pStyle w:val="null3"/>
              <w:ind w:firstLine="480"/>
              <w:jc w:val="both"/>
            </w:pPr>
            <w:r>
              <w:rPr>
                <w:sz w:val="24"/>
              </w:rPr>
              <w:t>为保障项目顺利实施，中标供应商应针对此项目组建稳定的项目团队，团队成员应具备相应的信息化建设或软件项目实施经验，并在项目实施周期内保持相对稳定。项目实施团队至少应包括项目负责人、技术负责人及相关技术人员。</w:t>
            </w:r>
          </w:p>
          <w:p>
            <w:pPr>
              <w:pStyle w:val="null3"/>
              <w:ind w:firstLine="480"/>
              <w:jc w:val="both"/>
            </w:pPr>
            <w:r>
              <w:rPr>
                <w:sz w:val="24"/>
              </w:rPr>
              <w:t>（</w:t>
            </w:r>
            <w:r>
              <w:rPr>
                <w:sz w:val="24"/>
              </w:rPr>
              <w:t>1</w:t>
            </w:r>
            <w:r>
              <w:rPr>
                <w:sz w:val="24"/>
              </w:rPr>
              <w:t xml:space="preserve">）项目负责人（项目经理）：中标供应商应指定 </w:t>
            </w:r>
            <w:r>
              <w:rPr>
                <w:sz w:val="24"/>
              </w:rPr>
              <w:t xml:space="preserve">1 </w:t>
            </w:r>
            <w:r>
              <w:rPr>
                <w:sz w:val="24"/>
              </w:rPr>
              <w:t>名项目负责人全面负责项目组织、实施管理与沟通协调工作。项目负责人应具备信息系统项目管理、信息系统运维管理等能力，具备信息化或软件类项目管理经验，熟悉信息系统建设实施流程，并能够统筹协调技术团队与业务部门推进项目实施。</w:t>
            </w:r>
          </w:p>
          <w:p>
            <w:pPr>
              <w:pStyle w:val="null3"/>
              <w:ind w:firstLine="480"/>
              <w:jc w:val="both"/>
            </w:pPr>
            <w:r>
              <w:rPr>
                <w:sz w:val="24"/>
              </w:rPr>
              <w:t>（</w:t>
            </w:r>
            <w:r>
              <w:rPr>
                <w:sz w:val="24"/>
              </w:rPr>
              <w:t>2</w:t>
            </w:r>
            <w:r>
              <w:rPr>
                <w:sz w:val="24"/>
              </w:rPr>
              <w:t xml:space="preserve">）技术负责人：中标供应商应指定 </w:t>
            </w:r>
            <w:r>
              <w:rPr>
                <w:sz w:val="24"/>
              </w:rPr>
              <w:t xml:space="preserve">1 </w:t>
            </w:r>
            <w:r>
              <w:rPr>
                <w:sz w:val="24"/>
              </w:rPr>
              <w:t>名技术负责人负责平台总体技术方案实施、系统架构把控及关键技术问题处理。技术负责人应具备信息系统项目管理、程序设计等能力，具备信息系统项目实施或软件系统架构设计相关经验，能够指导技术团队完成系统建设与技术落地。</w:t>
            </w:r>
          </w:p>
          <w:p>
            <w:pPr>
              <w:pStyle w:val="null3"/>
              <w:ind w:firstLine="480"/>
              <w:jc w:val="both"/>
            </w:pPr>
            <w:r>
              <w:rPr>
                <w:sz w:val="24"/>
              </w:rPr>
              <w:t>（</w:t>
            </w:r>
            <w:r>
              <w:rPr>
                <w:sz w:val="24"/>
              </w:rPr>
              <w:t>3</w:t>
            </w:r>
            <w:r>
              <w:rPr>
                <w:sz w:val="24"/>
              </w:rPr>
              <w:t>）项目</w:t>
            </w:r>
            <w:r>
              <w:rPr>
                <w:sz w:val="24"/>
              </w:rPr>
              <w:t>相关</w:t>
            </w:r>
            <w:r>
              <w:rPr>
                <w:sz w:val="24"/>
              </w:rPr>
              <w:t>技术人员：项目实施团队至少应配备</w:t>
            </w:r>
            <w:r>
              <w:rPr>
                <w:sz w:val="24"/>
              </w:rPr>
              <w:t>3</w:t>
            </w:r>
            <w:r>
              <w:rPr>
                <w:sz w:val="24"/>
              </w:rPr>
              <w:t>名具有相应的软件研发与测试、数据处理或智能技术的工作人员，负责系统开发、部署实施、运行支撑及系统运维等工作。</w:t>
            </w:r>
            <w:r>
              <w:rPr>
                <w:sz w:val="24"/>
              </w:rPr>
              <w:t>相关技术人员</w:t>
            </w:r>
            <w:r>
              <w:rPr>
                <w:sz w:val="24"/>
              </w:rPr>
              <w:t>应具备系统架构设计、软件设计、软件开发、网络信息安全、软件测试、人工智能应用等能力，并能够满足项目实施周期内的工作需求。</w:t>
            </w:r>
          </w:p>
          <w:p>
            <w:pPr>
              <w:pStyle w:val="null3"/>
              <w:ind w:firstLine="480"/>
              <w:jc w:val="both"/>
            </w:pPr>
            <w:r>
              <w:rPr>
                <w:sz w:val="24"/>
              </w:rPr>
              <w:t>（</w:t>
            </w:r>
            <w:r>
              <w:rPr>
                <w:sz w:val="24"/>
              </w:rPr>
              <w:t>4</w:t>
            </w:r>
            <w:r>
              <w:rPr>
                <w:sz w:val="24"/>
              </w:rPr>
              <w:t>）人员稳定性要求：项目实施期间，</w:t>
            </w:r>
            <w:r>
              <w:rPr>
                <w:sz w:val="24"/>
              </w:rPr>
              <w:t>项目负责人及实施团队成员（技术负责人</w:t>
            </w:r>
            <w:r>
              <w:rPr>
                <w:sz w:val="24"/>
              </w:rPr>
              <w:t>及</w:t>
            </w:r>
            <w:r>
              <w:rPr>
                <w:sz w:val="24"/>
              </w:rPr>
              <w:t>相关技术人员）</w:t>
            </w:r>
            <w:r>
              <w:rPr>
                <w:sz w:val="24"/>
              </w:rPr>
              <w:t>原则上不得随意更换。如因特殊情况确需调整，应提前向采购人说明情况并经采购人同意后方可更换，且替换人员的能力水平不得低于原人员。</w:t>
            </w:r>
          </w:p>
          <w:p>
            <w:pPr>
              <w:pStyle w:val="null3"/>
              <w:ind w:firstLine="480"/>
              <w:jc w:val="both"/>
            </w:pPr>
            <w:r>
              <w:rPr>
                <w:sz w:val="24"/>
              </w:rPr>
              <w:t>（</w:t>
            </w:r>
            <w:r>
              <w:rPr>
                <w:sz w:val="24"/>
              </w:rPr>
              <w:t>5</w:t>
            </w:r>
            <w:r>
              <w:rPr>
                <w:sz w:val="24"/>
              </w:rPr>
              <w:t>）团队协同要求：项目实施团队应配合采购人建立医工协同工作机制，能够及时响应项目实施过程中的需求确认、技术讨论及问题处理工作。</w:t>
            </w:r>
          </w:p>
          <w:p>
            <w:pPr>
              <w:pStyle w:val="null3"/>
              <w:ind w:firstLine="480"/>
              <w:jc w:val="both"/>
            </w:pPr>
            <w:r>
              <w:rPr>
                <w:sz w:val="24"/>
              </w:rPr>
              <w:t>（</w:t>
            </w:r>
            <w:r>
              <w:rPr>
                <w:sz w:val="24"/>
              </w:rPr>
              <w:t>6</w:t>
            </w:r>
            <w:r>
              <w:rPr>
                <w:sz w:val="24"/>
              </w:rPr>
              <w:t>）项目团队人员不可兼任，必须按照投标文件中的拟投入人员的人数结合采购人和项目实际需求进行驻场投入项目的实施，项目组成员应具备投标文件中对应资质，如因成员能力不足，导致项目实施延期或不能达到本项目的要求，中标供应商应自违约之日起每日按合同总额的</w:t>
            </w:r>
            <w:r>
              <w:rPr>
                <w:sz w:val="24"/>
              </w:rPr>
              <w:t>3</w:t>
            </w:r>
            <w:r>
              <w:rPr>
                <w:sz w:val="24"/>
              </w:rPr>
              <w:t>‰比例向采购人支付违约金；项目延期或不能达到本项目的要求超过</w:t>
            </w:r>
            <w:r>
              <w:rPr>
                <w:sz w:val="24"/>
              </w:rPr>
              <w:t>15</w:t>
            </w:r>
            <w:r>
              <w:rPr>
                <w:sz w:val="24"/>
              </w:rPr>
              <w:t>日以上时，采购人有权终止合同，由此造成采购人的经济损失由中标供应商承担。</w:t>
            </w:r>
          </w:p>
          <w:p>
            <w:pPr>
              <w:pStyle w:val="null3"/>
              <w:ind w:firstLine="480"/>
              <w:jc w:val="both"/>
            </w:pPr>
            <w:r>
              <w:rPr>
                <w:sz w:val="24"/>
              </w:rPr>
              <w:t>（</w:t>
            </w:r>
            <w:r>
              <w:rPr>
                <w:sz w:val="24"/>
              </w:rPr>
              <w:t>7</w:t>
            </w:r>
            <w:r>
              <w:rPr>
                <w:sz w:val="24"/>
              </w:rPr>
              <w:t>）采购人有权以书面形式要求中标供应商更换不能胜任合同履行工作的项目人员。即使是采购人要求或同意更换的人员，其代替人员的资历仍应得到采购人的认可，且其资历和经验均不低于被更换人员。由此而产生的费用由中标供应商承担。</w:t>
            </w:r>
          </w:p>
          <w:p>
            <w:pPr>
              <w:pStyle w:val="null3"/>
              <w:ind w:firstLine="480"/>
              <w:jc w:val="both"/>
            </w:pPr>
            <w:r>
              <w:rPr>
                <w:sz w:val="24"/>
              </w:rPr>
              <w:t>（</w:t>
            </w:r>
            <w:r>
              <w:rPr>
                <w:sz w:val="24"/>
              </w:rPr>
              <w:t>8</w:t>
            </w:r>
            <w:r>
              <w:rPr>
                <w:sz w:val="24"/>
              </w:rPr>
              <w:t>）在服务期间内，中标供应商必须按照有关规定，为本项目所有工作服务人员缴纳各种社会保险（投标时需提供承诺函并加盖投标人公章）。如服务期内中标供应商与员工发生劳动纠纷，由中标供应商自行承担全部责任；中标供应商的服务人员直接或间接的工作失误导致发生的事故</w:t>
            </w:r>
            <w:r>
              <w:rPr>
                <w:sz w:val="24"/>
              </w:rPr>
              <w:t>(</w:t>
            </w:r>
            <w:r>
              <w:rPr>
                <w:sz w:val="24"/>
              </w:rPr>
              <w:t>包括但不限于意外、工伤医疗事故等</w:t>
            </w:r>
            <w:r>
              <w:rPr>
                <w:sz w:val="24"/>
              </w:rPr>
              <w:t>)</w:t>
            </w:r>
            <w:r>
              <w:rPr>
                <w:sz w:val="24"/>
              </w:rPr>
              <w:t>，一切责任由中标供应商负责。</w:t>
            </w:r>
          </w:p>
          <w:p>
            <w:pPr>
              <w:pStyle w:val="null3"/>
              <w:ind w:firstLine="482"/>
              <w:jc w:val="both"/>
            </w:pPr>
            <w:r>
              <w:rPr>
                <w:sz w:val="24"/>
                <w:b/>
              </w:rPr>
              <w:t>3.8</w:t>
            </w:r>
            <w:r>
              <w:rPr>
                <w:sz w:val="24"/>
                <w:b/>
              </w:rPr>
              <w:t>培训、交付与运行保障要求</w:t>
            </w:r>
          </w:p>
          <w:p>
            <w:pPr>
              <w:pStyle w:val="null3"/>
              <w:ind w:firstLine="480"/>
              <w:jc w:val="both"/>
            </w:pPr>
            <w:r>
              <w:rPr>
                <w:sz w:val="24"/>
              </w:rPr>
              <w:t>3.8.1</w:t>
            </w:r>
            <w:r>
              <w:rPr>
                <w:sz w:val="24"/>
              </w:rPr>
              <w:t>中标供应商应提供覆盖不同角色的培训服务，包括但不限于业务人员、技术管理人员及运维人员，确保相关人员具备平台使用与管理能力。</w:t>
            </w:r>
          </w:p>
          <w:p>
            <w:pPr>
              <w:pStyle w:val="null3"/>
              <w:ind w:firstLine="480"/>
              <w:jc w:val="both"/>
            </w:pPr>
            <w:r>
              <w:rPr>
                <w:sz w:val="24"/>
              </w:rPr>
              <w:t>3.8.2</w:t>
            </w:r>
            <w:r>
              <w:rPr>
                <w:sz w:val="24"/>
              </w:rPr>
              <w:t>培训内容应涵盖平台功能使用、流程配置、数据与智能能力使用、基础运行管理及日常维护要点，并形成可验收的培训成果材料。</w:t>
            </w:r>
          </w:p>
          <w:p>
            <w:pPr>
              <w:pStyle w:val="null3"/>
              <w:ind w:firstLine="480"/>
              <w:jc w:val="both"/>
            </w:pPr>
            <w:r>
              <w:rPr>
                <w:sz w:val="24"/>
              </w:rPr>
              <w:t>3.8.3</w:t>
            </w:r>
            <w:r>
              <w:rPr>
                <w:sz w:val="24"/>
              </w:rPr>
              <w:t>项目交付成果应包含平台运行所需的技术文档、配置说明、操作指南及必要的管理文档，满足采购人自主运行与管理需求。</w:t>
            </w:r>
          </w:p>
          <w:p>
            <w:pPr>
              <w:pStyle w:val="null3"/>
              <w:ind w:firstLine="480"/>
              <w:jc w:val="both"/>
            </w:pPr>
            <w:r>
              <w:rPr>
                <w:sz w:val="24"/>
              </w:rPr>
              <w:t>3.8.4</w:t>
            </w:r>
            <w:r>
              <w:rPr>
                <w:sz w:val="24"/>
              </w:rPr>
              <w:t>项目上线后，中标供应商应提供必要的技术支持与运行保障服务，协助采购人保障平台稳定运行，并支持后续优化与能力扩展。</w:t>
            </w:r>
          </w:p>
          <w:p>
            <w:pPr>
              <w:pStyle w:val="null3"/>
              <w:jc w:val="both"/>
            </w:pPr>
            <w:r>
              <w:rPr>
                <w:sz w:val="24"/>
                <w:b/>
              </w:rPr>
              <w:t>（四）主要服务内容与交付成果清单</w:t>
            </w:r>
          </w:p>
          <w:tbl>
            <w:tblPr>
              <w:tblInd w:type="dxa" w:w="120"/>
              <w:tblBorders>
                <w:top w:val="none" w:color="000000" w:sz="4"/>
                <w:left w:val="none" w:color="000000" w:sz="4"/>
                <w:bottom w:val="none" w:color="000000" w:sz="4"/>
                <w:right w:val="none" w:color="000000" w:sz="4"/>
                <w:insideH w:val="none"/>
                <w:insideV w:val="none"/>
              </w:tblBorders>
            </w:tblPr>
            <w:tblGrid>
              <w:gridCol w:w="459"/>
              <w:gridCol w:w="879"/>
              <w:gridCol w:w="1981"/>
              <w:gridCol w:w="2277"/>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服务名称</w:t>
                  </w:r>
                </w:p>
              </w:tc>
              <w:tc>
                <w:tcPr>
                  <w:tcW w:type="dxa" w:w="1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服务目标说明</w:t>
                  </w:r>
                </w:p>
              </w:tc>
              <w:tc>
                <w:tcPr>
                  <w:tcW w:type="dxa" w:w="2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主要交付成果（含平台</w:t>
                  </w:r>
                  <w:r>
                    <w:rPr>
                      <w:sz w:val="24"/>
                    </w:rPr>
                    <w:t>/</w:t>
                  </w:r>
                  <w:r>
                    <w:rPr>
                      <w:sz w:val="24"/>
                    </w:rPr>
                    <w:t>配置</w:t>
                  </w:r>
                  <w:r>
                    <w:rPr>
                      <w:sz w:val="24"/>
                    </w:rPr>
                    <w:t>/</w:t>
                  </w:r>
                  <w:r>
                    <w:rPr>
                      <w:sz w:val="24"/>
                    </w:rPr>
                    <w:t>文档</w:t>
                  </w:r>
                  <w:r>
                    <w:rPr>
                      <w:sz w:val="24"/>
                    </w:rPr>
                    <w:t>/</w:t>
                  </w:r>
                  <w:r>
                    <w:rPr>
                      <w:sz w:val="24"/>
                    </w:rPr>
                    <w:t>清单）</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可信中枢平台与集成治理服务体系建设服务</w:t>
                  </w:r>
                </w:p>
              </w:tc>
              <w:tc>
                <w:tcPr>
                  <w:tcW w:type="dxa" w:w="1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建设可信医工协同中枢平台，形成多院区多系统并行接入、能力封装、统一调度与审计治理体系，并建立可治理的接口</w:t>
                  </w:r>
                  <w:r>
                    <w:rPr>
                      <w:sz w:val="24"/>
                    </w:rPr>
                    <w:t>/</w:t>
                  </w:r>
                  <w:r>
                    <w:rPr>
                      <w:sz w:val="24"/>
                    </w:rPr>
                    <w:t>事件</w:t>
                  </w:r>
                  <w:r>
                    <w:rPr>
                      <w:sz w:val="24"/>
                    </w:rPr>
                    <w:t>/</w:t>
                  </w:r>
                  <w:r>
                    <w:rPr>
                      <w:sz w:val="24"/>
                    </w:rPr>
                    <w:t>文档</w:t>
                  </w:r>
                  <w:r>
                    <w:rPr>
                      <w:sz w:val="24"/>
                    </w:rPr>
                    <w:t>/</w:t>
                  </w:r>
                  <w:r>
                    <w:rPr>
                      <w:sz w:val="24"/>
                    </w:rPr>
                    <w:t>数据服务目录化机制。</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平台部署与配置管理服务（含接口</w:t>
                  </w:r>
                  <w:r>
                    <w:rPr>
                      <w:sz w:val="24"/>
                    </w:rPr>
                    <w:t>/</w:t>
                  </w:r>
                  <w:r>
                    <w:rPr>
                      <w:sz w:val="24"/>
                    </w:rPr>
                    <w:t>事件</w:t>
                  </w:r>
                  <w:r>
                    <w:rPr>
                      <w:sz w:val="24"/>
                    </w:rPr>
                    <w:t>/</w:t>
                  </w:r>
                  <w:r>
                    <w:rPr>
                      <w:sz w:val="24"/>
                    </w:rPr>
                    <w:t>文档</w:t>
                  </w:r>
                  <w:r>
                    <w:rPr>
                      <w:sz w:val="24"/>
                    </w:rPr>
                    <w:t>/</w:t>
                  </w:r>
                  <w:r>
                    <w:rPr>
                      <w:sz w:val="24"/>
                    </w:rPr>
                    <w:t>数据服务目录）及版本治理规则；防腐层中间件与映射服务，规则与回滚策略管理；统一审计与追溯配置说明；运行监控与告警配置说明。</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智慧大脑系统与注册服务中心建设服务</w:t>
                  </w:r>
                </w:p>
              </w:tc>
              <w:tc>
                <w:tcPr>
                  <w:tcW w:type="dxa" w:w="1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建设智慧大脑系统，提供模型与智能体的统一注册、部署、运行、监控、版本管理与下线能力；建立注册服务体系与受控调用机制，确保智能能力可控、可审计、可追溯。</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智慧大脑系统部署与配置说明；模型注册服务、智能体注册服务、</w:t>
                  </w:r>
                  <w:r>
                    <w:rPr>
                      <w:sz w:val="24"/>
                    </w:rPr>
                    <w:t>AI</w:t>
                  </w:r>
                  <w:r>
                    <w:rPr>
                      <w:sz w:val="24"/>
                    </w:rPr>
                    <w:t>策略注册服务、智能体工具注册服务管理规范与样例；权限与风险分级配置说明；运行监控与日志说明。</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人工智能数据工程与指标体系建设服务</w:t>
                  </w:r>
                </w:p>
              </w:tc>
              <w:tc>
                <w:tcPr>
                  <w:tcW w:type="dxa" w:w="1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围绕中枢平台运行与智能服务交付需求，建立数据标准、主数据与指标口径体系，形成可稳定调用的数据服务、指标服务与可复用训练</w:t>
                  </w:r>
                  <w:r>
                    <w:rPr>
                      <w:sz w:val="24"/>
                    </w:rPr>
                    <w:t>/</w:t>
                  </w:r>
                  <w:r>
                    <w:rPr>
                      <w:sz w:val="24"/>
                    </w:rPr>
                    <w:t>评测数据集能力。</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数据标准与指标口径手册；主数据治理清单与维护流程；数据服务目录、指标服务目录；标准化训练</w:t>
                  </w:r>
                  <w:r>
                    <w:rPr>
                      <w:sz w:val="24"/>
                    </w:rPr>
                    <w:t>/</w:t>
                  </w:r>
                  <w:r>
                    <w:rPr>
                      <w:sz w:val="24"/>
                    </w:rPr>
                    <w:t>评测数据集清单（含版本、血缘、权限与访问记录）。</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首期场景智能服务部署与流程嵌入交付服务</w:t>
                  </w:r>
                </w:p>
              </w:tc>
              <w:tc>
                <w:tcPr>
                  <w:tcW w:type="dxa" w:w="1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围绕采购人确认的高频典型场景完成若干智能服务</w:t>
                  </w:r>
                  <w:r>
                    <w:rPr>
                      <w:sz w:val="24"/>
                    </w:rPr>
                    <w:t>/</w:t>
                  </w:r>
                  <w:r>
                    <w:rPr>
                      <w:sz w:val="24"/>
                    </w:rPr>
                    <w:t>智能体的嵌入式交付，形成可用、可控、可审计的业务闭环提升。</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场景智能服务清单；流程嵌入说明（触发点、输入上下文、输出与人工干预点）；风险分级与人类在环配置；审计与证据链配置；试运行效果与问题清单及优化记录。</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医工协同机制与联合建模</w:t>
                  </w:r>
                  <w:r>
                    <w:rPr>
                      <w:sz w:val="24"/>
                    </w:rPr>
                    <w:t>/</w:t>
                  </w:r>
                  <w:r>
                    <w:rPr>
                      <w:sz w:val="24"/>
                    </w:rPr>
                    <w:t>调优服务</w:t>
                  </w:r>
                </w:p>
              </w:tc>
              <w:tc>
                <w:tcPr>
                  <w:tcW w:type="dxa" w:w="1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建立</w:t>
                  </w:r>
                  <w:r>
                    <w:rPr>
                      <w:sz w:val="24"/>
                    </w:rPr>
                    <w:t>“需求共建、方案共评、效果共调”的医工协同机制，支撑模型训练</w:t>
                  </w:r>
                  <w:r>
                    <w:rPr>
                      <w:sz w:val="24"/>
                    </w:rPr>
                    <w:t>/</w:t>
                  </w:r>
                  <w:r>
                    <w:rPr>
                      <w:sz w:val="24"/>
                    </w:rPr>
                    <w:t>评测</w:t>
                  </w:r>
                  <w:r>
                    <w:rPr>
                      <w:sz w:val="24"/>
                    </w:rPr>
                    <w:t>/</w:t>
                  </w:r>
                  <w:r>
                    <w:rPr>
                      <w:sz w:val="24"/>
                    </w:rPr>
                    <w:t>调优与智能体策略持续迭代，形成可持续运营能力。</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医工协同机制文件（角色职责、流程、例会与评审机制）；联合建模台账（需求、数据、评测、迭代记录）；模型</w:t>
                  </w:r>
                  <w:r>
                    <w:rPr>
                      <w:sz w:val="24"/>
                    </w:rPr>
                    <w:t>/</w:t>
                  </w:r>
                  <w:r>
                    <w:rPr>
                      <w:sz w:val="24"/>
                    </w:rPr>
                    <w:t>策略变更评审记录；阶段复盘与优化建议。</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培训与能力转移支持服务</w:t>
                  </w:r>
                </w:p>
              </w:tc>
              <w:tc>
                <w:tcPr>
                  <w:tcW w:type="dxa" w:w="1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提供分角色培训与能力转移支持，确保业务、技术、运维与管理人员具备平台使用与基本运营能力。</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培训计划；培训课件与教材；签到与培训记录；操作手册；能力转移清单与交接说明。</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上线部署、试运行与持续运行保障服务</w:t>
                  </w:r>
                </w:p>
              </w:tc>
              <w:tc>
                <w:tcPr>
                  <w:tcW w:type="dxa" w:w="1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提供平台上线部署支持、试运行保障与持续服务支持，保障平台稳定运行并支持持续优化。</w:t>
                  </w:r>
                </w:p>
              </w:tc>
              <w:tc>
                <w:tcPr>
                  <w:tcW w:type="dxa" w:w="2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上线确认文档；试运行保障方案与日报</w:t>
                  </w:r>
                  <w:r>
                    <w:rPr>
                      <w:sz w:val="24"/>
                    </w:rPr>
                    <w:t>/</w:t>
                  </w:r>
                  <w:r>
                    <w:rPr>
                      <w:sz w:val="24"/>
                    </w:rPr>
                    <w:t>周报；服务响应与问题闭环记录；运行保障月报（可用性、故障、变更、告警）；最终验收支撑材料。</w:t>
                  </w:r>
                </w:p>
              </w:tc>
            </w:tr>
          </w:tbl>
          <w:p>
            <w:pPr>
              <w:pStyle w:val="null3"/>
              <w:jc w:val="both"/>
            </w:pPr>
            <w:r>
              <w:rPr>
                <w:sz w:val="24"/>
                <w:b/>
              </w:rPr>
              <w:t>（五）其他方案要求</w:t>
            </w:r>
          </w:p>
          <w:p>
            <w:pPr>
              <w:pStyle w:val="null3"/>
              <w:ind w:firstLine="482"/>
              <w:jc w:val="both"/>
            </w:pPr>
            <w:r>
              <w:rPr>
                <w:sz w:val="24"/>
                <w:b/>
              </w:rPr>
              <w:t>5.1</w:t>
            </w:r>
            <w:r>
              <w:rPr>
                <w:sz w:val="24"/>
                <w:b/>
              </w:rPr>
              <w:t>软件架构与功能设计方案</w:t>
            </w:r>
          </w:p>
          <w:p>
            <w:pPr>
              <w:pStyle w:val="null3"/>
              <w:ind w:firstLine="480"/>
              <w:jc w:val="both"/>
            </w:pPr>
            <w:r>
              <w:rPr>
                <w:sz w:val="24"/>
              </w:rPr>
              <w:t>投标人应针对本项目提供完整的软件架构与功能设计方案，包括但不限于系统总体架构、数据架构、关键技术路线、核心功能模块划分及实现方式等内容。方案应围绕</w:t>
            </w:r>
            <w:r>
              <w:rPr>
                <w:sz w:val="24"/>
              </w:rPr>
              <w:t xml:space="preserve">“可信中枢 </w:t>
            </w:r>
            <w:r>
              <w:rPr>
                <w:sz w:val="24"/>
              </w:rPr>
              <w:t xml:space="preserve">+ </w:t>
            </w:r>
            <w:r>
              <w:rPr>
                <w:sz w:val="24"/>
              </w:rPr>
              <w:t>智慧大脑”整体建设目标，体现平台化、模块化和可扩展的设计思路，能够支撑中枢平台、集成治理、数据治理、智慧大脑及后续智能服务的持续建设与演进。技术路线清晰，架构设计可行，具备长期运行与维护能力。</w:t>
            </w:r>
          </w:p>
          <w:p>
            <w:pPr>
              <w:pStyle w:val="null3"/>
              <w:ind w:firstLine="482"/>
              <w:jc w:val="both"/>
            </w:pPr>
            <w:r>
              <w:rPr>
                <w:sz w:val="24"/>
                <w:b/>
              </w:rPr>
              <w:t>5.2</w:t>
            </w:r>
            <w:r>
              <w:rPr>
                <w:sz w:val="24"/>
                <w:b/>
              </w:rPr>
              <w:t>可信医工协同中枢平台与集成治理方案</w:t>
            </w:r>
          </w:p>
          <w:p>
            <w:pPr>
              <w:pStyle w:val="null3"/>
              <w:ind w:firstLine="480"/>
              <w:jc w:val="both"/>
            </w:pPr>
            <w:r>
              <w:rPr>
                <w:sz w:val="24"/>
              </w:rPr>
              <w:t>投标人应提供可信医工协同中枢平台专项方案，包括但不限于中枢平台总体架构设计、多院区多系统接入方式、统一治理与调度机制、能力封装与协同方式，以及统一身份认证与权限管理设计等内容。方案应能够实现院内各类业务系统、数据资源和服务能力的集中接入与统一管理，支撑跨系统、跨院区的协同运行，满足医院长期运行、持续演进和能力复用的建设要求。</w:t>
            </w:r>
          </w:p>
          <w:p>
            <w:pPr>
              <w:pStyle w:val="null3"/>
              <w:ind w:firstLine="482"/>
              <w:jc w:val="both"/>
            </w:pPr>
            <w:r>
              <w:rPr>
                <w:sz w:val="24"/>
                <w:b/>
              </w:rPr>
              <w:t>5.3</w:t>
            </w:r>
            <w:r>
              <w:rPr>
                <w:sz w:val="24"/>
                <w:b/>
              </w:rPr>
              <w:t>智慧大脑与智能服务方案</w:t>
            </w:r>
          </w:p>
          <w:p>
            <w:pPr>
              <w:pStyle w:val="null3"/>
              <w:ind w:firstLine="480"/>
              <w:jc w:val="both"/>
            </w:pPr>
            <w:r>
              <w:rPr>
                <w:sz w:val="24"/>
              </w:rPr>
              <w:t>投标人应针对智慧大脑与智能服务提供专项方案，包括但不限于智慧大脑系统架构设计、模型</w:t>
            </w:r>
            <w:r>
              <w:rPr>
                <w:sz w:val="24"/>
              </w:rPr>
              <w:t>/</w:t>
            </w:r>
            <w:r>
              <w:rPr>
                <w:sz w:val="24"/>
              </w:rPr>
              <w:t>智能体的注册与运行机制、版本管理与下线机制，智能服务与业务流程的协同方式，以及模型可控性和人工干预机制等内容。方案应能够支撑智能服务在中枢平台统一治理下运行，保障智能能力可管理、可干预、可追溯，满足医院在实际业务场景中对智能服务安全性、稳定性和可控性的要求。</w:t>
            </w:r>
          </w:p>
          <w:p>
            <w:pPr>
              <w:pStyle w:val="null3"/>
              <w:ind w:firstLine="482"/>
              <w:jc w:val="both"/>
            </w:pPr>
            <w:r>
              <w:rPr>
                <w:sz w:val="24"/>
                <w:b/>
              </w:rPr>
              <w:t>5.4</w:t>
            </w:r>
            <w:r>
              <w:rPr>
                <w:sz w:val="24"/>
                <w:b/>
              </w:rPr>
              <w:t>数据治理与运行机制方案</w:t>
            </w:r>
          </w:p>
          <w:p>
            <w:pPr>
              <w:pStyle w:val="null3"/>
              <w:ind w:firstLine="480"/>
              <w:jc w:val="both"/>
            </w:pPr>
            <w:r>
              <w:rPr>
                <w:sz w:val="24"/>
              </w:rPr>
              <w:t>投标人应提供数据治理与运行机制专项方案，包括但不限于数据标准与指标口径设计、主数据治理机制、数据质量控制流程、数据服务化输出方式及运行管理机制等内容。方案应能够围绕智慧医工协同运行需求，在实际系统中落地运行，支撑多源异构数据的统一接入、治理和共享，为中枢平台运行及智慧大脑智能服务提供持续、可靠的数据基础。</w:t>
            </w:r>
          </w:p>
          <w:p>
            <w:pPr>
              <w:pStyle w:val="null3"/>
              <w:ind w:firstLine="482"/>
              <w:jc w:val="both"/>
            </w:pPr>
            <w:r>
              <w:rPr>
                <w:sz w:val="24"/>
                <w:b/>
              </w:rPr>
              <w:t>5.5</w:t>
            </w:r>
            <w:r>
              <w:rPr>
                <w:sz w:val="24"/>
                <w:b/>
              </w:rPr>
              <w:t>本土</w:t>
            </w:r>
            <w:r>
              <w:rPr>
                <w:sz w:val="24"/>
                <w:b/>
              </w:rPr>
              <w:t>化</w:t>
            </w:r>
            <w:r>
              <w:rPr>
                <w:sz w:val="24"/>
                <w:b/>
              </w:rPr>
              <w:t>与开源可控技术体系方案</w:t>
            </w:r>
          </w:p>
          <w:p>
            <w:pPr>
              <w:pStyle w:val="null3"/>
              <w:ind w:firstLine="480"/>
              <w:jc w:val="both"/>
            </w:pPr>
            <w:r>
              <w:rPr>
                <w:sz w:val="24"/>
              </w:rPr>
              <w:t>投标人应针对</w:t>
            </w:r>
            <w:r>
              <w:rPr>
                <w:sz w:val="24"/>
              </w:rPr>
              <w:t>本土</w:t>
            </w:r>
            <w:r>
              <w:rPr>
                <w:sz w:val="24"/>
              </w:rPr>
              <w:t>化与开源可控技术体系提供专项说明，包括但不限于操作系统、数据库、编程语言等关键基础技术的选型情况，</w:t>
            </w:r>
            <w:r>
              <w:rPr>
                <w:sz w:val="24"/>
              </w:rPr>
              <w:t>本土</w:t>
            </w:r>
            <w:r>
              <w:rPr>
                <w:sz w:val="24"/>
              </w:rPr>
              <w:t>化与开源技术的使用范围与方式，以及技术体系在可审计、可替代、可演进方面的设计说明。方案应明确避免对不可审计、不可替换的封闭技术形成深度依赖，支撑中枢系统与智慧大脑在采购人指定环境中长期稳定运行，保障平台技术底座的自主可控与持续发展能力。</w:t>
            </w:r>
          </w:p>
          <w:p>
            <w:pPr>
              <w:pStyle w:val="null3"/>
              <w:ind w:firstLine="482"/>
              <w:jc w:val="both"/>
            </w:pPr>
            <w:r>
              <w:rPr>
                <w:sz w:val="24"/>
                <w:b/>
              </w:rPr>
              <w:t>5.6项目管理、实施与验收保障方案</w:t>
            </w:r>
          </w:p>
          <w:p>
            <w:pPr>
              <w:pStyle w:val="null3"/>
              <w:ind w:firstLine="482"/>
              <w:jc w:val="both"/>
            </w:pPr>
            <w:r>
              <w:rPr>
                <w:sz w:val="24"/>
              </w:rPr>
              <w:t>投标人应提供项目管理、实施与验收保障专项方案，包括但不限于项目实施计划与阶段安排、医工协同与沟通机制、项目组织与人员分工、验收流程与验收凭证设置，以及项目文档交付与运行保障安排等内容。方案应具备明确的实施路径和可操作性，能够支撑项目分阶段建设、分阶段验收及最终稳定运行，确保项目按期、高质量交付。</w:t>
            </w:r>
          </w:p>
          <w:p>
            <w:pPr>
              <w:pStyle w:val="null3"/>
              <w:jc w:val="both"/>
            </w:pPr>
            <w:r>
              <w:rPr>
                <w:sz w:val="24"/>
                <w:b/>
              </w:rPr>
              <w:t>（</w:t>
            </w:r>
            <w:r>
              <w:rPr>
                <w:sz w:val="24"/>
                <w:b/>
              </w:rPr>
              <w:t>六</w:t>
            </w:r>
            <w:r>
              <w:rPr>
                <w:sz w:val="24"/>
                <w:b/>
              </w:rPr>
              <w:t>）</w:t>
            </w:r>
            <w:r>
              <w:rPr>
                <w:sz w:val="24"/>
                <w:b/>
              </w:rPr>
              <w:t>运维服务质量考核表</w:t>
            </w:r>
          </w:p>
          <w:p>
            <w:pPr>
              <w:pStyle w:val="null3"/>
              <w:jc w:val="both"/>
            </w:pPr>
            <w:r>
              <w:rPr>
                <w:sz w:val="24"/>
              </w:rPr>
              <w:t>考核满分为100分。评分细则如下（扣减分情况）:</w:t>
            </w:r>
          </w:p>
          <w:tbl>
            <w:tblPr>
              <w:tblInd w:type="dxa" w:w="120"/>
              <w:tblBorders>
                <w:top w:val="none" w:color="000000" w:sz="4"/>
                <w:left w:val="none" w:color="000000" w:sz="4"/>
                <w:bottom w:val="none" w:color="000000" w:sz="4"/>
                <w:right w:val="none" w:color="000000" w:sz="4"/>
                <w:insideH w:val="none"/>
                <w:insideV w:val="none"/>
              </w:tblBorders>
            </w:tblPr>
            <w:tblGrid>
              <w:gridCol w:w="667"/>
              <w:gridCol w:w="881"/>
              <w:gridCol w:w="3368"/>
              <w:gridCol w:w="680"/>
            </w:tblGrid>
            <w:tr>
              <w:tc>
                <w:tcPr>
                  <w:tcW w:type="dxa" w:w="667"/>
                  <w:tcBorders>
                    <w:top w:val="singl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b/>
                    </w:rPr>
                    <w:t>序号</w:t>
                  </w:r>
                </w:p>
              </w:tc>
              <w:tc>
                <w:tcPr>
                  <w:tcW w:type="dxa" w:w="881"/>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b/>
                    </w:rPr>
                    <w:t>考核项目</w:t>
                  </w:r>
                </w:p>
              </w:tc>
              <w:tc>
                <w:tcPr>
                  <w:tcW w:type="dxa" w:w="3368"/>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b/>
                    </w:rPr>
                    <w:t>评分细则</w:t>
                  </w:r>
                </w:p>
              </w:tc>
              <w:tc>
                <w:tcPr>
                  <w:tcW w:type="dxa" w:w="680"/>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b/>
                    </w:rPr>
                    <w:t>扣分情况</w:t>
                  </w:r>
                </w:p>
              </w:tc>
            </w:tr>
            <w:tr>
              <w:tc>
                <w:tcPr>
                  <w:tcW w:type="dxa" w:w="667"/>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1</w:t>
                  </w:r>
                </w:p>
              </w:tc>
              <w:tc>
                <w:tcPr>
                  <w:tcW w:type="dxa" w:w="881"/>
                  <w:vMerge w:val="restart"/>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优化需求管理</w:t>
                  </w: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1、未能按时完成需求收集工作，扣2分。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vMerge/>
                  <w:tcBorders>
                    <w:top w:val="none" w:color="000000" w:sz="4"/>
                    <w:left w:val="single" w:color="000000" w:sz="4"/>
                    <w:bottom w:val="single" w:color="000000" w:sz="4"/>
                    <w:right w:val="single" w:color="000000" w:sz="4"/>
                  </w:tcBorders>
                </w:tcPr>
                <w:p/>
              </w:tc>
              <w:tc>
                <w:tcPr>
                  <w:tcW w:type="dxa" w:w="881"/>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2、擅自修改已确定的优化需求范围，不通报采购人对接人的，发现一次扣2分。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vMerge/>
                  <w:tcBorders>
                    <w:top w:val="none" w:color="000000" w:sz="4"/>
                    <w:left w:val="single" w:color="000000" w:sz="4"/>
                    <w:bottom w:val="single" w:color="000000" w:sz="4"/>
                    <w:right w:val="single" w:color="000000" w:sz="4"/>
                  </w:tcBorders>
                </w:tcPr>
                <w:p/>
              </w:tc>
              <w:tc>
                <w:tcPr>
                  <w:tcW w:type="dxa" w:w="881"/>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3、发现重大优化需求分析缺陷，扣2分。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2</w:t>
                  </w:r>
                </w:p>
              </w:tc>
              <w:tc>
                <w:tcPr>
                  <w:tcW w:type="dxa" w:w="881"/>
                  <w:vMerge w:val="restart"/>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沟通管理</w:t>
                  </w: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1、对外擅自承诺新版本发布或BUG修复时间，发现一次扣2分。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vMerge/>
                  <w:tcBorders>
                    <w:top w:val="none" w:color="000000" w:sz="4"/>
                    <w:left w:val="single" w:color="000000" w:sz="4"/>
                    <w:bottom w:val="single" w:color="000000" w:sz="4"/>
                    <w:right w:val="single" w:color="000000" w:sz="4"/>
                  </w:tcBorders>
                </w:tcPr>
                <w:p/>
              </w:tc>
              <w:tc>
                <w:tcPr>
                  <w:tcW w:type="dxa" w:w="881"/>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2、项目软件有BUG,发现以后不及时通报采购人对接人，不能及时解决因为BUG导致的开发问题，发现一次扣3分。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3</w:t>
                  </w:r>
                </w:p>
              </w:tc>
              <w:tc>
                <w:tcPr>
                  <w:tcW w:type="dxa" w:w="881"/>
                  <w:vMerge w:val="restart"/>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故障处理及Bug修复时限</w:t>
                  </w: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1、引起业务中断的故障（明确非项目软件原因除外），每发生一次重大故障扣5分到15分；每发生一次非重大故障扣1分到4分；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vMerge/>
                  <w:tcBorders>
                    <w:top w:val="none" w:color="000000" w:sz="4"/>
                    <w:left w:val="single" w:color="000000" w:sz="4"/>
                    <w:bottom w:val="single" w:color="000000" w:sz="4"/>
                    <w:right w:val="single" w:color="000000" w:sz="4"/>
                  </w:tcBorders>
                </w:tcPr>
                <w:p/>
              </w:tc>
              <w:tc>
                <w:tcPr>
                  <w:tcW w:type="dxa" w:w="881"/>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2、因文档不全、人员未及时到位等导致不能及时进行故障处理，每次扣2分；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vMerge/>
                  <w:tcBorders>
                    <w:top w:val="none" w:color="000000" w:sz="4"/>
                    <w:left w:val="single" w:color="000000" w:sz="4"/>
                    <w:bottom w:val="single" w:color="000000" w:sz="4"/>
                    <w:right w:val="single" w:color="000000" w:sz="4"/>
                  </w:tcBorders>
                </w:tcPr>
                <w:p/>
              </w:tc>
              <w:tc>
                <w:tcPr>
                  <w:tcW w:type="dxa" w:w="881"/>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3、未按照共同确定的时限修复软件BUG,发现一次扣5分。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4</w:t>
                  </w:r>
                </w:p>
              </w:tc>
              <w:tc>
                <w:tcPr>
                  <w:tcW w:type="dxa" w:w="881"/>
                  <w:vMerge w:val="restart"/>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文档管理</w:t>
                  </w: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1、优化版本没有完整的设计、实施、开发、维护文档，而发布上线，发现一次扣3分。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vMerge/>
                  <w:tcBorders>
                    <w:top w:val="none" w:color="000000" w:sz="4"/>
                    <w:left w:val="single" w:color="000000" w:sz="4"/>
                    <w:bottom w:val="single" w:color="000000" w:sz="4"/>
                    <w:right w:val="single" w:color="000000" w:sz="4"/>
                  </w:tcBorders>
                </w:tcPr>
                <w:p/>
              </w:tc>
              <w:tc>
                <w:tcPr>
                  <w:tcW w:type="dxa" w:w="881"/>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2、文档更新不及时，发现一次扣1分，引起问题的，发现一次扣2分。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19"/>
                    </w:rPr>
                    <w:t xml:space="preserve"> </w:t>
                  </w:r>
                </w:p>
              </w:tc>
            </w:tr>
            <w:tr>
              <w:tc>
                <w:tcPr>
                  <w:tcW w:type="dxa" w:w="667"/>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5</w:t>
                  </w:r>
                </w:p>
              </w:tc>
              <w:tc>
                <w:tcPr>
                  <w:tcW w:type="dxa" w:w="881"/>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版本管理</w:t>
                  </w: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1、没有及时按要求进行版本的升级维护，发现一次扣3分。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6</w:t>
                  </w:r>
                </w:p>
              </w:tc>
              <w:tc>
                <w:tcPr>
                  <w:tcW w:type="dxa" w:w="881"/>
                  <w:vMerge w:val="restart"/>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日常维护</w:t>
                  </w: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1、电话支持服务：</w:t>
                  </w:r>
                  <w:r>
                    <w:br/>
                  </w:r>
                  <w:r>
                    <w:rPr>
                      <w:sz w:val="21"/>
                    </w:rPr>
                    <w:t>上班时间无人接听支持电话，每发生一次扣1分；</w:t>
                  </w:r>
                  <w:r>
                    <w:br/>
                  </w:r>
                  <w:r>
                    <w:rPr>
                      <w:sz w:val="21"/>
                    </w:rPr>
                    <w:t>接听支持电话时，态度不好或推诿，每发生一次扣1分；</w:t>
                  </w:r>
                  <w:r>
                    <w:br/>
                  </w:r>
                  <w:r>
                    <w:rPr>
                      <w:sz w:val="21"/>
                    </w:rPr>
                    <w:t>对于无法电话中解决的问题，下一步解决安排不妥当而导致投诉升级，每发生一次扣2分；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vMerge/>
                  <w:tcBorders>
                    <w:top w:val="none" w:color="000000" w:sz="4"/>
                    <w:left w:val="single" w:color="000000" w:sz="4"/>
                    <w:bottom w:val="single" w:color="000000" w:sz="4"/>
                    <w:right w:val="single" w:color="000000" w:sz="4"/>
                  </w:tcBorders>
                </w:tcPr>
                <w:p/>
              </w:tc>
              <w:tc>
                <w:tcPr>
                  <w:tcW w:type="dxa" w:w="881"/>
                  <w:vMerge/>
                  <w:tcBorders>
                    <w:top w:val="none" w:color="000000" w:sz="4"/>
                    <w:left w:val="none" w:color="000000" w:sz="4"/>
                    <w:bottom w:val="single" w:color="000000" w:sz="4"/>
                    <w:right w:val="single" w:color="000000" w:sz="4"/>
                  </w:tcBorders>
                </w:tcP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2、邮件支持服务：</w:t>
                  </w:r>
                  <w:r>
                    <w:br/>
                  </w:r>
                  <w:r>
                    <w:rPr>
                      <w:sz w:val="21"/>
                    </w:rPr>
                    <w:t>收到用户（含用户方集成商）反映问题的邮件后，在24小时内不处理（周六、日除外），每发生一次扣1分；</w:t>
                  </w:r>
                  <w:r>
                    <w:br/>
                  </w:r>
                  <w:r>
                    <w:rPr>
                      <w:sz w:val="21"/>
                    </w:rPr>
                    <w:t>处理完用户的问题后，不及时反馈，每发生一次扣1分；</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7</w:t>
                  </w:r>
                </w:p>
              </w:tc>
              <w:tc>
                <w:tcPr>
                  <w:tcW w:type="dxa" w:w="881"/>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重大事项一票否决规定</w:t>
                  </w: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对于项目软件提供商严重违反规定，如：项目严重超期、产品质量严重不符合采购人要求、泄露系统配置、系统信息、相关文档内容和核心技术；因其他原因导致重大故障，引起严重后果。当次考核得分为零，并按相关规定追究当事人及所在公司的责任。</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667"/>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8</w:t>
                  </w:r>
                </w:p>
              </w:tc>
              <w:tc>
                <w:tcPr>
                  <w:tcW w:type="dxa" w:w="881"/>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奖励和加分说明</w:t>
                  </w:r>
                </w:p>
              </w:tc>
              <w:tc>
                <w:tcPr>
                  <w:tcW w:type="dxa" w:w="3368"/>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1.奖励得分前提条件为当月基本得分在80分以上，且奖励总分原则上不超过20分，奖励分数+当月基本得分原则上不超过100分。</w:t>
                  </w:r>
                </w:p>
                <w:p>
                  <w:pPr>
                    <w:pStyle w:val="null3"/>
                    <w:jc w:val="left"/>
                  </w:pPr>
                  <w:r>
                    <w:rPr>
                      <w:sz w:val="21"/>
                    </w:rPr>
                    <w:t>2.发现基于此项目在开发和维护管理中存在风险并及时提出解决方案每次可给予5分奖励。</w:t>
                  </w:r>
                </w:p>
                <w:p>
                  <w:pPr>
                    <w:pStyle w:val="null3"/>
                    <w:jc w:val="left"/>
                  </w:pPr>
                  <w:r>
                    <w:rPr>
                      <w:sz w:val="21"/>
                    </w:rPr>
                    <w:t>3.发生系统故障，并积极主动配合并挽回或避免损失可给予2到6分奖励。</w:t>
                  </w:r>
                </w:p>
                <w:p>
                  <w:pPr>
                    <w:pStyle w:val="null3"/>
                    <w:jc w:val="left"/>
                  </w:pPr>
                  <w:r>
                    <w:rPr>
                      <w:sz w:val="21"/>
                    </w:rPr>
                    <w:t>4.提出有价值的合理化建议，每次给予加1分奖励，如果采纳并取得显著效果的，每次给予加5分奖励。</w:t>
                  </w:r>
                </w:p>
                <w:p>
                  <w:pPr>
                    <w:pStyle w:val="null3"/>
                    <w:jc w:val="left"/>
                  </w:pPr>
                  <w:r>
                    <w:rPr>
                      <w:sz w:val="21"/>
                    </w:rPr>
                    <w:t>5.对投诉处理积极主动，提出合理化解决投诉方案，配合解决好重大投诉,可给与1-5分奖励。</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4916"/>
                  <w:gridSpan w:val="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总得分（扣减分后）</w:t>
                  </w:r>
                </w:p>
              </w:tc>
              <w:tc>
                <w:tcPr>
                  <w:tcW w:type="dxa" w:w="68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bl>
          <w:p>
            <w:pPr>
              <w:pStyle w:val="null3"/>
              <w:jc w:val="both"/>
            </w:pPr>
            <w:r>
              <w:rPr>
                <w:sz w:val="24"/>
              </w:rPr>
              <w:t>考核说明：采用100分制，运维服务期内，采购人每半年对中标供应商的运维服务质量情况进行考核，采购人根据中标供应商该年度两次运维服务质量考核结果的平均值支付该年度运维服务期的服务费：</w:t>
            </w:r>
          </w:p>
          <w:p>
            <w:pPr>
              <w:pStyle w:val="null3"/>
              <w:jc w:val="both"/>
            </w:pPr>
            <w:r>
              <w:rPr>
                <w:sz w:val="24"/>
              </w:rPr>
              <w:t>1.优秀：运维服务质量考核在90分（含）以上，足额支付该年度运维服务期的服务费。</w:t>
            </w:r>
          </w:p>
          <w:p>
            <w:pPr>
              <w:pStyle w:val="null3"/>
              <w:jc w:val="both"/>
            </w:pPr>
            <w:r>
              <w:rPr>
                <w:sz w:val="24"/>
              </w:rPr>
              <w:t>2.良好：运维服务质量考核在80分-89分，扣除该年度运维服务期的服务费人民币2,000.00元，并责令中标供应商加强运维服务质量管理。</w:t>
            </w:r>
          </w:p>
          <w:p>
            <w:pPr>
              <w:pStyle w:val="null3"/>
              <w:jc w:val="both"/>
            </w:pPr>
            <w:r>
              <w:rPr>
                <w:sz w:val="24"/>
              </w:rPr>
              <w:t>3.合格：运维服务质量考核在60分-79分，扣除该年度运维服务期的服务费人民币5,000.00元并责令整改，若整改无效的采购人有权单方面解除合同并</w:t>
            </w:r>
            <w:r>
              <w:rPr>
                <w:sz w:val="24"/>
              </w:rPr>
              <w:t>全部扣除</w:t>
            </w:r>
            <w:r>
              <w:rPr>
                <w:sz w:val="24"/>
              </w:rPr>
              <w:t>履约保证金，一切责任与采购人无关。</w:t>
            </w:r>
          </w:p>
          <w:p>
            <w:pPr>
              <w:pStyle w:val="null3"/>
              <w:jc w:val="both"/>
            </w:pPr>
            <w:r>
              <w:rPr>
                <w:sz w:val="24"/>
              </w:rPr>
              <w:t>4.不合格：运维服务质量考核在60分（不含）以下，扣除该年度运维服务期的服务费且采购人有权</w:t>
            </w:r>
            <w:r>
              <w:rPr>
                <w:sz w:val="24"/>
              </w:rPr>
              <w:t>全部扣除</w:t>
            </w:r>
            <w:r>
              <w:rPr>
                <w:sz w:val="24"/>
              </w:rPr>
              <w:t>履约保证金及单方面解除合同，由此产生的一切责任由中标供应商承担。</w:t>
            </w:r>
          </w:p>
          <w:p>
            <w:pPr>
              <w:pStyle w:val="null3"/>
              <w:jc w:val="both"/>
            </w:pPr>
            <w:r>
              <w:rPr>
                <w:sz w:val="24"/>
              </w:rPr>
              <w:t>注：两次运维服务质量考核结果的平均值达到合格或以上并按采购人要求整改（如有）完毕则视运维服务质量考核合格。</w:t>
            </w:r>
            <w:r>
              <w:rPr/>
              <w:t xml:space="preserve"> </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1.采购代理机构：本项目是指广东信诚招标代理咨询有限公司佛山分公司，负责整个采购活动的组织，依法负责编制和发布招标文件，对招标文件拥有最终的解释权，不以任何身份出任评标委员会成员。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佛山大学附属第三医院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向中标供应商收取，收费标准参照《招标代理服务收费管理暂行办法》（计价格〔2002〕1980号)附表服务类招标收费标准向中标(成交)人收取中标服务费，以中标价为计费基数计算代理费后下浮30%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其他，1.资金来源：自筹资金，本项目属于政府采购项目。 2.投标人应按照本项目招标公告附件的《工程类、服务类项目中小企业声明函模板（填写说明）》进行响应，否则不予认定。 3.本项目投标报价采用人民币元为单位，在《开标一览表》中“投标报价（元/%）”因系统格式问题无法调整，实际应为“投标报价（元）”；因第六章投标文件格式与要求为系统直接生成无法调整，请投标人根据本项目的实际情况、项目特点情况选用。 4.招标文件附件：投标人应将招标公告中“相关附件”（如有）内容填写好相关信息后附在投标文件中。 5.响应文件内证明材料：投标人所提供的证明材料复印件或扫描件须清晰可辨，明确反应相关响应的信息，否则可能导致其投标无效或被拒绝。 6.投标人需登录广东政府采购智慧云平台项目采购系统的等候大厅留意投标文件澄清等环节信息，在规定时间内完成对应的响应并加盖电子印章（未按要求进行响应，由此造成的后果由投标人自行承担）。 7.投标文件信息公开要求，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中标供应商的投标文件内容，接受社会公众监督，投标人递交投标文件后视为已作出以下承诺：（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2）投标人承诺保证上述应公示的内容的真实性，且确认不涉及任何个人隐私、商业非公开资料/保密内容和其他不可公开的内容。如若中标，同意采购人或其委托的代理机构将上述应公示的内容予以公开。 8.根据《佛山市政务服务数据管理局佛山市财政局关于进一步促进公平竞争优化政府采购营商环境的通知》（佛政数函[2021]54号），参与政府采购的中小微企业可凭借中标通知书或政府采购合同，利用“省中小融”、“粤信融”、“中征应收账款融资服务平台”等平台向金融机构申请融资，获得无财产抵押贷款。 9.根据《佛山市财政局关于加强政府采购管理进一步优化政府采购营商环境的通知》（佛财采购函[2024] 8号）要求，原则上在中标(成交)通知书发出之日起20日内签订合同；合同签订无需经单位集体会议决策的，应当在中标(成交)通知书发出之日起10日内签订政府采购合同。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广东信诚招标代理咨询有限公司佛山分公司</w:t>
      </w:r>
      <w:r>
        <w:rPr/>
        <w:t>代收。具体操作要求详见</w:t>
      </w:r>
      <w:r>
        <w:rPr/>
        <w:t>广东信诚招标代理咨询有限公司佛山分公司</w:t>
      </w:r>
      <w:r>
        <w:rPr/>
        <w:t>有关指引，递交事宜请自行咨询</w:t>
      </w:r>
      <w:r>
        <w:rPr/>
        <w:t>广东信诚招标代理咨询有限公司佛山分公司</w:t>
      </w:r>
      <w:r>
        <w:rPr/>
        <w:t>；请各投标人在投标文件递交截止时间前按须知前附表规定的金额递交至</w:t>
      </w:r>
      <w:r>
        <w:rPr/>
        <w:t>广东信诚招标代理咨询有限公司佛山分公司</w:t>
      </w:r>
      <w:r>
        <w:rPr/>
        <w:t>，到账情况以开标时</w:t>
      </w:r>
      <w:r>
        <w:rPr/>
        <w:t>广东信诚招标代理咨询有限公司佛山分公司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广东省公共资源交易平台（https://ygp.gdzwfw.gov.cn/ggzy-portal/#/440600/index），佛山市南海区人民政府网（http://www.nanhai.gov.cn/），广东信诚招标代理咨询有限公司（http://www.gdxczb.cn/）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广东省公共资源交易平台（https://ygp.gdzwfw.gov.cn/ggzy-portal/#/440600/index），佛山市南海区人民政府网（http://www.nanhai.gov.cn/），广东信诚招标代理咨询有限公司（http://www.gdxczb.cn/）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简小姐</w:t>
      </w:r>
    </w:p>
    <w:p>
      <w:pPr>
        <w:pStyle w:val="null3"/>
        <w:ind w:firstLine="480"/>
      </w:pPr>
      <w:r>
        <w:rPr/>
        <w:t>电话：</w:t>
      </w:r>
      <w:r>
        <w:rPr/>
        <w:t>0757-85753190</w:t>
      </w:r>
    </w:p>
    <w:p>
      <w:pPr>
        <w:pStyle w:val="null3"/>
        <w:ind w:firstLine="480"/>
      </w:pPr>
      <w:r>
        <w:rPr/>
        <w:t>传真：</w:t>
      </w:r>
      <w:r>
        <w:rPr/>
        <w:t>/</w:t>
      </w:r>
    </w:p>
    <w:p>
      <w:pPr>
        <w:pStyle w:val="null3"/>
        <w:ind w:firstLine="480"/>
      </w:pPr>
      <w:r>
        <w:rPr/>
        <w:t>邮箱：</w:t>
      </w:r>
      <w:r>
        <w:rPr/>
        <w:t>gdxc@gdxczb.cn</w:t>
      </w:r>
    </w:p>
    <w:p>
      <w:pPr>
        <w:pStyle w:val="null3"/>
        <w:ind w:firstLine="480"/>
      </w:pPr>
      <w:r>
        <w:rPr/>
        <w:t>地址：</w:t>
      </w:r>
      <w:r>
        <w:rPr/>
        <w:t>佛山市南海区大沥镇广佛公路平地段38号万成广场A座2008室</w:t>
      </w:r>
    </w:p>
    <w:p>
      <w:pPr>
        <w:pStyle w:val="null3"/>
        <w:ind w:firstLine="480"/>
      </w:pPr>
      <w:r>
        <w:rPr/>
        <w:t>邮编：</w:t>
      </w:r>
      <w:r>
        <w:rPr/>
        <w:t>528000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新一代可信智慧医工协同中枢系统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广东信诚招标代理咨询有限公司佛山分公司</w:t>
      </w:r>
      <w:r>
        <w:rPr/>
        <w:t>统一对外发布。</w:t>
      </w:r>
    </w:p>
    <w:p>
      <w:pPr>
        <w:pStyle w:val="null3"/>
        <w:ind w:firstLine="480"/>
      </w:pPr>
      <w:r>
        <w:rPr/>
        <w:t>（2）对</w:t>
      </w:r>
      <w:r>
        <w:rPr/>
        <w:t>广东信诚招标代理咨询有限公司佛山分公司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采购包1（新一代可信智慧医工协同中枢系统建设）：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采购包1（新一代可信智慧医工协同中枢系统建设）：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人提供加盖投标人公章的《政府采购供应商资格信用承诺函》（详见招标公告附件）或提供以下资料：提供投标截止日前12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提供加盖投标人公章的《政府采购供应商资格信用承诺函》（详见招标公告附件）或提供以下资料：提供2024或2025年度经审计的财务状况报告或基本开户行出具的资信证明或财政部门认可的政府采购专业担保机构出具的担保函,成立不足一年的单位可以提供投标截止前上一季度或月份财务会计报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或提供《政府采购供应商资格信用承诺函》（详见招标公告附件）并加盖投标人公章。重大违法记录，是指供应商因违法经营受到刑事处罚或者责令停产停业、吊销许可证或者执照、较大数额罚款等行政处罚。（较大数额罚款按照《财政部关于&lt;中华人民共和国政府采购法实施条例&gt;第十九条第一款“较大数额罚款”具体适用问题的意见》（财库〔2022〕3号)执行，认定为200万元以上的罚款，法律、行政法规以及国务院有关部门明确规定相关领域“较大数额罚款”标准高于200万元的，从其规定。）；6）法律、行政法规规定的其他条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投标。为本项目提供整体设计、规范编制或者项目管理、监理、检测等服务的供应商，不得再参与本项目投标（参照投标函相关承诺格式内容）。</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中小企业以供应商填写的《中小企业声明函(工程、服务)》（见招标文件格式）为判定标准，残疾人福利性单位以供应商提供的《残疾人福利性单位声明函》(见招标文件格式)为判定标准，监狱企业须供应商提供由省级以上监狱管理局、戒毒管理局(含新疆生产建设兵团)出具的属于监狱企业的证明文件。本项目的中小企业划分标准所属行业为：软件和信息技术服务业。</w:t>
            </w:r>
          </w:p>
        </w:tc>
      </w:tr>
    </w:tbl>
    <w:p>
      <w:pPr>
        <w:pStyle w:val="null3"/>
        <w:ind w:firstLine="480"/>
      </w:pPr>
      <w:r>
        <w:rPr/>
        <w:t>表二符合性审查表：</w:t>
      </w:r>
    </w:p>
    <w:p>
      <w:pPr>
        <w:pStyle w:val="null3"/>
      </w:pPr>
      <w:r>
        <w:rPr/>
        <w:t>采购包1（新一代可信智慧医工协同中枢系统建设）：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法定代表人（负责人）证明书、法定代表人（负责人）授权委托书按对应格式文件签署、盖章。</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投标方案</w:t>
            </w:r>
          </w:p>
        </w:tc>
        <w:tc>
          <w:tcPr>
            <w:tcW w:type="dxa" w:w="4238"/>
          </w:tcPr>
          <w:p>
            <w:pPr>
              <w:pStyle w:val="null3"/>
            </w:pPr>
            <w:r>
              <w:rPr/>
              <w:t>投标人提供的投标方案及报价方案固定。</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投标报价未超出本项目该采购包的最高限价。</w:t>
            </w:r>
          </w:p>
        </w:tc>
      </w:tr>
      <w:tr>
        <w:tc>
          <w:tcPr>
            <w:tcW w:type="dxa" w:w="890"/>
          </w:tcPr>
          <w:p>
            <w:pPr>
              <w:pStyle w:val="null3"/>
            </w:pPr>
            <w:r>
              <w:rPr/>
              <w:t>6</w:t>
            </w:r>
          </w:p>
        </w:tc>
        <w:tc>
          <w:tcPr>
            <w:tcW w:type="dxa" w:w="3178"/>
          </w:tcPr>
          <w:p>
            <w:pPr>
              <w:pStyle w:val="null3"/>
            </w:pPr>
            <w:r>
              <w:rPr/>
              <w:t>“★”号实质性响应情况</w:t>
            </w:r>
          </w:p>
        </w:tc>
        <w:tc>
          <w:tcPr>
            <w:tcW w:type="dxa" w:w="4238"/>
          </w:tcPr>
          <w:p>
            <w:pPr>
              <w:pStyle w:val="null3"/>
            </w:pPr>
            <w:r>
              <w:rPr/>
              <w:t>投标文件完全满足招标文件的“★”号实质性条款。投标时须按要求填写（技术和服务要求响应表）及（商务条件响应表）（如有要求提供相关证明材料须按要求提供证明材料）。</w:t>
            </w:r>
          </w:p>
        </w:tc>
      </w:tr>
      <w:tr>
        <w:tc>
          <w:tcPr>
            <w:tcW w:type="dxa" w:w="890"/>
          </w:tcPr>
          <w:p>
            <w:pPr>
              <w:pStyle w:val="null3"/>
            </w:pPr>
            <w:r>
              <w:rPr/>
              <w:t>7</w:t>
            </w:r>
          </w:p>
        </w:tc>
        <w:tc>
          <w:tcPr>
            <w:tcW w:type="dxa" w:w="3178"/>
          </w:tcPr>
          <w:p>
            <w:pPr>
              <w:pStyle w:val="null3"/>
            </w:pPr>
            <w:r>
              <w:rPr/>
              <w:t>其它</w:t>
            </w:r>
          </w:p>
        </w:tc>
        <w:tc>
          <w:tcPr>
            <w:tcW w:type="dxa" w:w="4238"/>
          </w:tcPr>
          <w:p>
            <w:pPr>
              <w:pStyle w:val="null3"/>
            </w:pPr>
            <w:r>
              <w:rPr/>
              <w:t>投标文件中没有法律、法规和招标文件规定的其他无效情形。</w:t>
            </w:r>
          </w:p>
        </w:tc>
      </w:tr>
      <w:tr>
        <w:tc>
          <w:tcPr>
            <w:tcW w:type="dxa" w:w="890"/>
          </w:tcPr>
          <w:p>
            <w:pPr>
              <w:pStyle w:val="null3"/>
            </w:pPr>
            <w:r>
              <w:rPr/>
              <w:t>8</w:t>
            </w:r>
          </w:p>
        </w:tc>
        <w:tc>
          <w:tcPr>
            <w:tcW w:type="dxa" w:w="3178"/>
          </w:tcPr>
          <w:p>
            <w:pPr>
              <w:pStyle w:val="null3"/>
            </w:pPr>
            <w:r>
              <w:rPr/>
              <w:t>异常低价审查</w:t>
            </w:r>
          </w:p>
        </w:tc>
        <w:tc>
          <w:tcPr>
            <w:tcW w:type="dxa" w:w="4238"/>
          </w:tcPr>
          <w:p>
            <w:pPr>
              <w:pStyle w:val="null3"/>
            </w:pPr>
            <w:r>
              <w:rPr/>
              <w:t>本项目需落实《关于推动解决政府采购异常低价问题的通知》（财库〔2026〕2号）的要求，投标人报价如出现被评审委员会认定为应当启动异常低价投标审查的，按以下条款执行： （一）本政府采购项目评审中出现下列情形之一的，评审委员会应当启动异常低价投标（响应）审查程序：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采购包1(新一代可信智慧医工协同中枢系统建设):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技术部分70.0分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对项目理解程度 (5.0分)</w:t>
            </w:r>
          </w:p>
        </w:tc>
        <w:tc>
          <w:tcPr>
            <w:tcW w:type="dxa" w:w="5076"/>
          </w:tcPr>
          <w:p>
            <w:pPr>
              <w:pStyle w:val="null3"/>
              <w:jc w:val="left"/>
            </w:pPr>
            <w:r>
              <w:rPr/>
              <w:t>根据投标人对项目目标、需求的把握深度及其对采购人需求的实际贴合度进行评价： （1）对项目目标理解深刻、核心需求把握精准，方案规划与采购人实际需求高度吻合的，得5分； （2）对项目目标和基本需求有了解，能进行一般性分析，逻辑性、准确性尚可的，得2分； （3）未能清晰理解项目目标与核心需求，分析缺乏逻辑的，得1分； （4）未提供相关分析内容或分析内容空洞无效，无法证明对项目及采购人需求有基本认知的，得0分。</w:t>
            </w:r>
          </w:p>
        </w:tc>
      </w:tr>
      <w:tr>
        <w:tc>
          <w:tcPr>
            <w:tcW w:type="dxa" w:w="922"/>
            <w:gridSpan w:val="2"/>
            <w:vMerge/>
          </w:tcPr>
          <w:p/>
        </w:tc>
        <w:tc>
          <w:tcPr>
            <w:tcW w:type="dxa" w:w="2307"/>
          </w:tcPr>
          <w:p>
            <w:pPr>
              <w:pStyle w:val="null3"/>
              <w:jc w:val="left"/>
            </w:pPr>
            <w:r>
              <w:rPr/>
              <w:t>软件架构与功能设计方案 (10.0分)</w:t>
            </w:r>
          </w:p>
        </w:tc>
        <w:tc>
          <w:tcPr>
            <w:tcW w:type="dxa" w:w="5076"/>
          </w:tcPr>
          <w:p>
            <w:pPr>
              <w:pStyle w:val="null3"/>
              <w:jc w:val="left"/>
            </w:pPr>
            <w:r>
              <w:rPr/>
              <w:t>投标人根据“第二章 采购需求”的“附表一”的“（五）其他方案要求”内容提供的软件架构与功能设计方案进行评审： （1）针对本项目提供的软件架构与功能设计方案完全满足且优于采购需求的，得 10 分； （2）针对本项目提供的软件架构与功能设计方案完全满足采购需求的，得 6 分； （3）针对本项目提供的软件架构与功能设计方案不能完全满足采购需求的，得 2 分； （4）不提供或其他情况的，得 0 分。</w:t>
            </w:r>
          </w:p>
        </w:tc>
      </w:tr>
      <w:tr>
        <w:tc>
          <w:tcPr>
            <w:tcW w:type="dxa" w:w="922"/>
            <w:gridSpan w:val="2"/>
            <w:vMerge/>
          </w:tcPr>
          <w:p/>
        </w:tc>
        <w:tc>
          <w:tcPr>
            <w:tcW w:type="dxa" w:w="2307"/>
          </w:tcPr>
          <w:p>
            <w:pPr>
              <w:pStyle w:val="null3"/>
              <w:jc w:val="left"/>
            </w:pPr>
            <w:r>
              <w:rPr/>
              <w:t>可信中枢平台与集成治理方案 (9.0分)</w:t>
            </w:r>
          </w:p>
        </w:tc>
        <w:tc>
          <w:tcPr>
            <w:tcW w:type="dxa" w:w="5076"/>
          </w:tcPr>
          <w:p>
            <w:pPr>
              <w:pStyle w:val="null3"/>
              <w:jc w:val="left"/>
            </w:pPr>
            <w:r>
              <w:rPr/>
              <w:t>投标人根据“第二章 采购需求”的“附表一”的“（五）其他方案要求”内容提供的可信中枢平台与集成治理方案进行评审： （1）针对本项目提供的中枢平台方案完全满足且优于采购需求的，得 9 分； （2）针对本项目提供的中枢平台方案完全满足采购需求的，得 5分； （3）针对本项目提供的中枢平台方案不能完全满足采购需求的，得 1 分； （4）不提供或其他情况的，得 0 分。</w:t>
            </w:r>
          </w:p>
        </w:tc>
      </w:tr>
      <w:tr>
        <w:tc>
          <w:tcPr>
            <w:tcW w:type="dxa" w:w="922"/>
            <w:gridSpan w:val="2"/>
            <w:vMerge/>
          </w:tcPr>
          <w:p/>
        </w:tc>
        <w:tc>
          <w:tcPr>
            <w:tcW w:type="dxa" w:w="2307"/>
          </w:tcPr>
          <w:p>
            <w:pPr>
              <w:pStyle w:val="null3"/>
              <w:jc w:val="left"/>
            </w:pPr>
            <w:r>
              <w:rPr/>
              <w:t>智慧大脑与智能服务方案 (8.0分)</w:t>
            </w:r>
          </w:p>
        </w:tc>
        <w:tc>
          <w:tcPr>
            <w:tcW w:type="dxa" w:w="5076"/>
          </w:tcPr>
          <w:p>
            <w:pPr>
              <w:pStyle w:val="null3"/>
              <w:jc w:val="left"/>
            </w:pPr>
            <w:r>
              <w:rPr/>
              <w:t>投标人根据“第二章 采购需求”的“附表一”的“（五）其他方案要求”内容提供的智慧大脑与智能服务方案进行评审： （1）针对本项目提供的智慧大脑与智能服务方案完全满足且优于采购需求的，得 8 分； （2）针对本项目提供的智慧大脑与智能服务方案完全满足采购需求的，得 5 分； （3）针对本项目提供的智慧大脑与智能服务方案不能完全满足采购需求的，得 2 分； （4）不提供或其他情况的，得 0 分。</w:t>
            </w:r>
          </w:p>
        </w:tc>
      </w:tr>
      <w:tr>
        <w:tc>
          <w:tcPr>
            <w:tcW w:type="dxa" w:w="922"/>
            <w:gridSpan w:val="2"/>
            <w:vMerge/>
          </w:tcPr>
          <w:p/>
        </w:tc>
        <w:tc>
          <w:tcPr>
            <w:tcW w:type="dxa" w:w="2307"/>
          </w:tcPr>
          <w:p>
            <w:pPr>
              <w:pStyle w:val="null3"/>
              <w:jc w:val="left"/>
            </w:pPr>
            <w:r>
              <w:rPr/>
              <w:t>数据治理与运行机制方案 (8.0分)</w:t>
            </w:r>
          </w:p>
        </w:tc>
        <w:tc>
          <w:tcPr>
            <w:tcW w:type="dxa" w:w="5076"/>
          </w:tcPr>
          <w:p>
            <w:pPr>
              <w:pStyle w:val="null3"/>
              <w:jc w:val="left"/>
            </w:pPr>
            <w:r>
              <w:rPr/>
              <w:t>投标人根据“第二章 采购需求”的“附表一”的“（五）其他方案要求”内容提供的数据治理与运行机制方案进行评审： （1）针对本项目提供的数据治理与运行机制方案完全满足且优于采购需求的，得 8 分； （2）针对本项目提供的数据治理与运行机制方案完全满足采购需求的，得 5 分； （3）针对本项目提供的数据治理与运行机制方案不能完全满足采购需求的，得 2 分； （4）不提供或其他情况的，得 0 分。</w:t>
            </w:r>
          </w:p>
        </w:tc>
      </w:tr>
      <w:tr>
        <w:tc>
          <w:tcPr>
            <w:tcW w:type="dxa" w:w="922"/>
            <w:gridSpan w:val="2"/>
            <w:vMerge/>
          </w:tcPr>
          <w:p/>
        </w:tc>
        <w:tc>
          <w:tcPr>
            <w:tcW w:type="dxa" w:w="2307"/>
          </w:tcPr>
          <w:p>
            <w:pPr>
              <w:pStyle w:val="null3"/>
              <w:jc w:val="left"/>
            </w:pPr>
            <w:r>
              <w:rPr/>
              <w:t>本土化与开源可控技术体系方案 (10.0分)</w:t>
            </w:r>
          </w:p>
        </w:tc>
        <w:tc>
          <w:tcPr>
            <w:tcW w:type="dxa" w:w="5076"/>
          </w:tcPr>
          <w:p>
            <w:pPr>
              <w:pStyle w:val="null3"/>
              <w:jc w:val="left"/>
            </w:pPr>
            <w:r>
              <w:rPr/>
              <w:t>投标人根据“第二章 采购需求”的“附表一”的“（五）其他方案要求”内容提供的本土化与开源可控技术体系方案进行评审： （1）针对本项目提供的本土化与开源可控技术体系方案完全满足且优于采购需求的，得 10 分； （2）针对本项目提供的本土化与开源可控技术体系方案完全满足采购需求的，得 6 分； （3）针对本项目提供的本土化与开源可控技术体系方案不能完全满足采购需求的，得 2 分； （4）不提供或其他情况的，得 0 分。</w:t>
            </w:r>
          </w:p>
        </w:tc>
      </w:tr>
      <w:tr>
        <w:tc>
          <w:tcPr>
            <w:tcW w:type="dxa" w:w="922"/>
            <w:gridSpan w:val="2"/>
            <w:vMerge/>
          </w:tcPr>
          <w:p/>
        </w:tc>
        <w:tc>
          <w:tcPr>
            <w:tcW w:type="dxa" w:w="2307"/>
          </w:tcPr>
          <w:p>
            <w:pPr>
              <w:pStyle w:val="null3"/>
              <w:jc w:val="left"/>
            </w:pPr>
            <w:r>
              <w:rPr/>
              <w:t>智能能力演示1 (4.0分)</w:t>
            </w:r>
          </w:p>
        </w:tc>
        <w:tc>
          <w:tcPr>
            <w:tcW w:type="dxa" w:w="5076"/>
          </w:tcPr>
          <w:p>
            <w:pPr>
              <w:pStyle w:val="null3"/>
              <w:jc w:val="left"/>
            </w:pPr>
            <w:r>
              <w:rPr/>
              <w:t>投标人可提供完成过或承接过的一个项目或由多个项目剪切组成或针对本项目制作的演示视频，展示智能能力。评审委员会根据投标人提交的视频演示材料进行评分，演示内容应基于真实可运行系统环境，围绕智慧大脑系统的实际运行能力展开，评分标准： （1）模型或智能体注册与管理界面（本小项最高得2分） 能够清晰展示模型或智能体注册、基本信息维护、状态管理等功能，界面完整、操作过程清晰、能够体现实际管理能力的，得2分； 仅部分展示相关界面或功能展示不完整的，得1分； 未展示或无法体现相关管理能力的，得0分。 （2）模型版本管理或上下线流程（本小项最高得2分） 能够清晰展示模型版本管理、版本切换、上线或下线流程等内容，流程完整、逻辑清晰、能够体现实际运行管理能力的，得2分； 仅部分展示版本管理或上下线流程，内容不完整的，得1分； 未展示或无法体现相关能力的，得0分。 注：（1）评审仅依据投标人提交的视频演示材料进行打分，评标委员会将综合判断内容的完整性、真实性与演示效果。如未提供有效视频材料，或视频内容与要求不符，该项不得分。（2）投标人需提供视频演示材料所涉及项目均为自身完成过或承接过项目的承诺函加盖投标人公章，并对其真实性承担责任。（3）投标人需提供可播放U盘一份，内含视频播放软件和视频内容，每个投标人的演示时间不得超过10分钟，不留密码，无病毒，保证能正常播放，在开标当日递交投标文件截止时间前30分钟密封递交。视频文件格式为：rmvb或avi或mp4。视频应连续录制，不得拼接，在视频开头展示系统当前时间或终端时间戳，不得采用PPT、图片、静态页面等演示方式。（4）视频应真实反映系统功能，不得对单一项目演示过程进行剪辑或篡改。如视频包含多个项目，应保证每一演示片段为连续录制。（5）提交演示视频地点：佛山市南海区桂城街道夏南路58号方舟一号建筑产业中心大楼二楼。</w:t>
            </w:r>
          </w:p>
        </w:tc>
      </w:tr>
      <w:tr>
        <w:tc>
          <w:tcPr>
            <w:tcW w:type="dxa" w:w="922"/>
            <w:gridSpan w:val="2"/>
            <w:vMerge/>
          </w:tcPr>
          <w:p/>
        </w:tc>
        <w:tc>
          <w:tcPr>
            <w:tcW w:type="dxa" w:w="2307"/>
          </w:tcPr>
          <w:p>
            <w:pPr>
              <w:pStyle w:val="null3"/>
              <w:jc w:val="left"/>
            </w:pPr>
            <w:r>
              <w:rPr/>
              <w:t>智能能力演示 2 (4.0分)</w:t>
            </w:r>
          </w:p>
        </w:tc>
        <w:tc>
          <w:tcPr>
            <w:tcW w:type="dxa" w:w="5076"/>
          </w:tcPr>
          <w:p>
            <w:pPr>
              <w:pStyle w:val="null3"/>
              <w:jc w:val="left"/>
            </w:pPr>
            <w:r>
              <w:rPr/>
              <w:t>投标人可提供完成过或承接过的一个项目或由多个项目剪切组成或针对本项目制作的演示视频，展示智能能力。评审委员会根据投标人提交的视频演示材料进行评分，演示内容应基于真实可运行系统环境，围绕智慧大脑系统的实际运行能力展开，评分标准： （1）智能服务与业务流程协同调用过程（本小项最高得2分） 能够清晰展示智能服务在业务流程中的调用过程，体现与业务流程协同联动、调用逻辑完整、应用场景明确的，得2分； 仅展示部分调用过程或业务协同关系不清晰的，得1分； 未展示或无法体现智能服务与业务流程协同调用能力的，得0分。 （2）模型运行监控或日志追踪界面（本小项最高得2分） 能够清晰展示模型运行监控、调用记录、日志追踪或运行状态查看等内容，界面完整、信息清晰、能够体现运行可监测和可追溯能力的，得2分； 仅部分展示监控或日志内容，展示不完整的，得1分； 未展示或无法体现相关能力的，得0分。注：（1）评审仅依据投标人提交的视频演示材料进行打分，评标委员会将综合判断内容的完整性、真实性与演示效果。如未提供有效视频材料，或视频内容与要求不符，该项不得分。（2）投标人需提供视频演示材料所涉及项目均为自身完成过或承接过项目的承诺函加盖投标人公章，并对其真实性承担责任。（3）投标人需提供可播放U盘一份，内含视频播放软件和视频内容，每个投标人的演示时间不得超过10分钟，不留密码，无病毒，保证能正常播放，在开标当日递交投标文件截止时间前30分钟密封递交。视频文件格式为：rmvb或avi或mp4。视频应连续录制，不得拼接，在视频开头展示系统当前时间或终端时间戳，不得采用PPT、图片、静态页面等演示方式。（4）视频应真实反映系统功能，不得对单一项目演示过程进行剪辑或篡改。如视频包含多个项目，应保证每一演示片段为连续录制。（5）提交演示视频地点：佛山市南海区桂城街道夏南路58号方舟一号建筑产业中心大楼二楼。</w:t>
            </w:r>
          </w:p>
        </w:tc>
      </w:tr>
      <w:tr>
        <w:tc>
          <w:tcPr>
            <w:tcW w:type="dxa" w:w="922"/>
            <w:gridSpan w:val="2"/>
            <w:vMerge/>
          </w:tcPr>
          <w:p/>
        </w:tc>
        <w:tc>
          <w:tcPr>
            <w:tcW w:type="dxa" w:w="2307"/>
          </w:tcPr>
          <w:p>
            <w:pPr>
              <w:pStyle w:val="null3"/>
              <w:jc w:val="left"/>
            </w:pPr>
            <w:r>
              <w:rPr/>
              <w:t>本土化与开源可控技术体系演示1 (3.0分)</w:t>
            </w:r>
          </w:p>
        </w:tc>
        <w:tc>
          <w:tcPr>
            <w:tcW w:type="dxa" w:w="5076"/>
          </w:tcPr>
          <w:p>
            <w:pPr>
              <w:pStyle w:val="null3"/>
              <w:jc w:val="left"/>
            </w:pPr>
            <w:r>
              <w:rPr/>
              <w:t>投标人可提供完成过或承接过的一个项目或由多个项目剪切组成或针对本项目制作的演示视频，展示本土化与开源可控技术。本项根据投标人提交的视频演示材料进行评分，演示内容应围绕本土化及开源可控技术体系的实际运行情况，评分标准： （1）系统运行环境展示（本土化操作系统版本、本土化服务器环境等）（本小项最高得1.5分） 能够清晰展示系统运行环境，包括本土操作系统、服务器环境等，环境信息完整、可辨识且真实运行的，得1.5分； 仅部分展示或环境信息不完整的，得0.5分； 未展示或无法体现运行环境的，得0分。 （2）本土化编程语言与本土化数据库连接及操作过程（本小项最高得1.5分） 能够清晰展示本土编程语言与本土数据库的连接及操作过程，过程完整、逻辑清晰、能够体现实际使用能力的，得1.5分； 仅部分展示相关过程或不完整的，得0.5分； 未展示或无法体现相关能力的，得0分。注：（1）评审仅依据投标人提交的视频演示材料进行打分，评标委员会将综合判断内容的完整性、真实性与演示效果。如未提供有效视频材料，或视频内容与要求不符，该项不得分。（2）投标人需提供视频演示材料所涉及项目均为自身完成过或承接过项目的承诺函加盖投标人公章，并对其真实性承担责任。（3）投标人需提供可播放U盘一份，内含视频播放软件和视频内容，每个投标人的演示时间不得超过10分钟，不留密码，无病毒，保证能正常播放，在开标当日递交投标文件截止时间前30分钟密封递交。视频文件格式为：rmvb或avi或mp4。视频应连续录制，不得拼接，在视频开头展示系统当前时间或终端时间戳，不得采用PPT、图片、静态页面等演示方式。（4）视频应真实反映系统功能，不得对单一项目演示过程进行剪辑或篡改。如视频包含多个项目，应保证每一演示片段为连续录制。（5）提交演示视频地点：佛山市南海区桂城街道夏南路58号方舟一号建筑产业中心大楼二楼。</w:t>
            </w:r>
          </w:p>
        </w:tc>
      </w:tr>
      <w:tr>
        <w:tc>
          <w:tcPr>
            <w:tcW w:type="dxa" w:w="922"/>
            <w:gridSpan w:val="2"/>
            <w:vMerge/>
          </w:tcPr>
          <w:p/>
        </w:tc>
        <w:tc>
          <w:tcPr>
            <w:tcW w:type="dxa" w:w="2307"/>
          </w:tcPr>
          <w:p>
            <w:pPr>
              <w:pStyle w:val="null3"/>
              <w:jc w:val="left"/>
            </w:pPr>
            <w:r>
              <w:rPr/>
              <w:t>本土化与开源可控技术体系演示2 (4.0分)</w:t>
            </w:r>
          </w:p>
        </w:tc>
        <w:tc>
          <w:tcPr>
            <w:tcW w:type="dxa" w:w="5076"/>
          </w:tcPr>
          <w:p>
            <w:pPr>
              <w:pStyle w:val="null3"/>
              <w:jc w:val="left"/>
            </w:pPr>
            <w:r>
              <w:rPr/>
              <w:t>投标人可提供完成过或承接过的一个项目或由多个项目剪切组成或针对本项目制作的演示视频，展示本土化与开源可控技术。本项根据投标人提交的视频演示材料进行评分，演示内容应围绕本土化及开源可控技术体系的实际运行情况，评分标准：（1）系统在本土化或可控技术环境下的部署运行情况（本小项最高得2分） 能够清晰展示系统在本土化或可控技术环境下的部署、运行及服务调用情况，流程完整、运行稳定的，得2分； 仅部分展示部署或运行过程的，得1分； 未展示或无法体现实际运行情况的，得0分。 （2）技术组件版本展示（本小项最高得1分） 能够展示系统关键技术组件版本信息（如数据库、中间件等），信息清晰、可验证的，得1分； 展示不完整或不清晰的，得0.5分； 未展示的，得0分。 （3）服务在本地环境运行情况（本小项最高得1分） 能够清晰展示服务在本地环境运行情况，包括服务调用、运行状态或访问情况，体现实际运行能力的，得1分； 仅部分展示或不清晰的，得0.5分； 未展示或无法体现的，得0分。 注：（1）评审仅依据投标人提交的视频演示材料进行打分，评标委员会将综合判断内容的完整性、真实性与演示效果。如未提供有效视频材料，或视频内容与要求不符，该项不得分。（2）投标人需提供视频演示材料所涉及项目均为自身完成过或承接过项目的承诺函加盖投标人公章，并对其真实性承担责任。（3）投标人需提供可播放U盘一份，内含视频播放软件和视频内容，每个投标人的演示时间不得超过10分钟，不留密码，无病毒，保证能正常播放，在开标当日递交投标文件截止时间前30分钟密封递交。视频文件格式为：rmvb或avi或mp4。视频应连续录制，不得拼接，在视频开头展示系统当前时间或终端时间戳，不得采用PPT、图片、静态页面等演示方式。（4）视频应真实反映系统功能，不得对单一项目演示过程进行剪辑或篡改。如视频包含多个项目，应保证每一演示片段为连续录制。（5）提交演示视频地点：佛山市南海区桂城街道夏南路58号方舟一号建筑产业中心大楼二楼。</w:t>
            </w:r>
          </w:p>
        </w:tc>
      </w:tr>
      <w:tr>
        <w:tc>
          <w:tcPr>
            <w:tcW w:type="dxa" w:w="922"/>
            <w:gridSpan w:val="2"/>
            <w:vMerge/>
          </w:tcPr>
          <w:p/>
        </w:tc>
        <w:tc>
          <w:tcPr>
            <w:tcW w:type="dxa" w:w="2307"/>
          </w:tcPr>
          <w:p>
            <w:pPr>
              <w:pStyle w:val="null3"/>
              <w:jc w:val="left"/>
            </w:pPr>
            <w:r>
              <w:rPr/>
              <w:t>项目管理、实施与验收保障方案 (5.0分)</w:t>
            </w:r>
          </w:p>
        </w:tc>
        <w:tc>
          <w:tcPr>
            <w:tcW w:type="dxa" w:w="5076"/>
          </w:tcPr>
          <w:p>
            <w:pPr>
              <w:pStyle w:val="null3"/>
              <w:jc w:val="left"/>
            </w:pPr>
            <w:r>
              <w:rPr/>
              <w:t>投标人根据“第二章 采购需求”的“附表一”的“（五）其他方案要求”内容提供的项目管理、实施与验收保障方案进行评审： （1）针对本项目提供的项目管理、实施与验收保障方案完全满足且优于采购需求的，得 5 分； （2）针对本项目提供的项目管理、实施与验收保障方案完全满足采购需求的，得 3 分； （3）针对本项目提供的项目管理、实施与验收保障方案不能完全满足采购需求的，得 1 分； （4）不提供或其他情况的，得 0 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提供2023年1月1日至今（以合同签订时间为准），以投标人名义独立承接的相关项目经验进行综合评审： 根据投标人提供的同类项目（信息化平台建设项目、人工智能平台建设项目、智能体服务相关、数据中台建设项目共4种类型）业绩进行评分，每类型提供一项得1分，最高得4分。 注：同类项目业绩需提供合同关键页（含签订合同双方的单位名称、合同项目名称与签订合同双方的落款盖章、签订日期等的关键页）复印件并加盖投标人公章作为证明材料，不提供的不得分。所有证明材料须加盖投标人公章；未按要求提供证明材料或证明材料不完整、不清晰的，该项不得分。</w:t>
            </w:r>
          </w:p>
        </w:tc>
      </w:tr>
      <w:tr>
        <w:tc>
          <w:tcPr>
            <w:tcW w:type="dxa" w:w="922"/>
            <w:gridSpan w:val="2"/>
            <w:vMerge/>
          </w:tcPr>
          <w:p/>
        </w:tc>
        <w:tc>
          <w:tcPr>
            <w:tcW w:type="dxa" w:w="2307"/>
          </w:tcPr>
          <w:p>
            <w:pPr>
              <w:pStyle w:val="null3"/>
              <w:jc w:val="left"/>
            </w:pPr>
            <w:r>
              <w:rPr/>
              <w:t>人员资质 (5.0分)</w:t>
            </w:r>
          </w:p>
        </w:tc>
        <w:tc>
          <w:tcPr>
            <w:tcW w:type="dxa" w:w="5076"/>
          </w:tcPr>
          <w:p>
            <w:pPr>
              <w:pStyle w:val="null3"/>
              <w:jc w:val="left"/>
            </w:pPr>
            <w:r>
              <w:rPr/>
              <w:t>1.拟投入的项目负责人：具有信息系统项目管理师证书或信息系统运维管理工程师，得1分； 本小项最高得1分。 2.拟投入的技术负责人： 具有信息系统项目管理师证书或程序设计师，得1分； 本小项最高得1分。 3.拟投入的项目相关技术人员：具有系统架构设计师（人社部颁发或人社部与工信部颁发）、软件设计师、软件开发工程师、网络信息安全工程师、软件测试工程师、人工智能应用工程师相关专业证书之一，得0.5分/证；同一人具备多个不同证书，可重复计分；同一人具备同一证书不同级别的，以最高级别计分。本小项最高得3分。 本项最高得5分。 注：1）需提交上述人员在投标截止时间前6个月内任意一个月购买社保的证明文件复印件，不提供或资料提供不齐全或不清晰的不得分。 2）提供上述人员的相关证书证明材料扫描件等。</w:t>
            </w:r>
          </w:p>
        </w:tc>
      </w:tr>
      <w:tr>
        <w:tc>
          <w:tcPr>
            <w:tcW w:type="dxa" w:w="922"/>
            <w:gridSpan w:val="2"/>
            <w:vMerge/>
          </w:tcPr>
          <w:p/>
        </w:tc>
        <w:tc>
          <w:tcPr>
            <w:tcW w:type="dxa" w:w="2307"/>
          </w:tcPr>
          <w:p>
            <w:pPr>
              <w:pStyle w:val="null3"/>
              <w:jc w:val="left"/>
            </w:pPr>
            <w:r>
              <w:rPr/>
              <w:t>综合实力 (6.0分)</w:t>
            </w:r>
          </w:p>
        </w:tc>
        <w:tc>
          <w:tcPr>
            <w:tcW w:type="dxa" w:w="5076"/>
          </w:tcPr>
          <w:p>
            <w:pPr>
              <w:pStyle w:val="null3"/>
              <w:jc w:val="left"/>
            </w:pPr>
            <w:r>
              <w:rPr/>
              <w:t>根据投标人在质量管理、服务能力、安全保障方面的认证情况进行综合评审：投标人具有质量管理体系认证、信息技术服务管理体系认证、信息安全管理体系认证每项得2分，最高得6分。 注：（1）须提供有效期内的认证证书复印件/扫描件并加盖投标人公章，不提供不得分。 （2）如投标人成立时间不足3个月（时间以投标人营业执照上的成立/注册日期至响应截止当天计算）导致未能获得认证证书的，提供声明函(格式自拟)，视为满足该项评分。不提供不得分。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jc w:val="center"/>
      </w:pPr>
      <w:r>
        <w:rPr>
          <w:sz w:val="36"/>
          <w:b/>
        </w:rPr>
        <w:t>佛山市政府采购项目</w:t>
      </w:r>
    </w:p>
    <w:p>
      <w:pPr>
        <w:pStyle w:val="null3"/>
        <w:jc w:val="center"/>
      </w:pPr>
      <w:r>
        <w:rPr>
          <w:sz w:val="36"/>
          <w:b/>
        </w:rPr>
        <w:t>合同书</w:t>
      </w:r>
    </w:p>
    <w:p>
      <w:pPr>
        <w:pStyle w:val="null3"/>
        <w:ind w:firstLine="480"/>
        <w:jc w:val="center"/>
      </w:pPr>
      <w:r>
        <w:rPr/>
        <w:t xml:space="preserve"> </w:t>
      </w:r>
    </w:p>
    <w:p>
      <w:pPr>
        <w:pStyle w:val="null3"/>
        <w:ind w:firstLine="480"/>
        <w:jc w:val="center"/>
      </w:pPr>
      <w:r>
        <w:rPr/>
        <w:t xml:space="preserve"> </w:t>
      </w:r>
    </w:p>
    <w:p>
      <w:pPr>
        <w:pStyle w:val="null3"/>
        <w:ind w:firstLine="2409"/>
        <w:jc w:val="both"/>
      </w:pPr>
      <w:r>
        <w:rPr>
          <w:sz w:val="24"/>
          <w:b/>
        </w:rPr>
        <w:t>项目编号：</w:t>
      </w:r>
    </w:p>
    <w:p>
      <w:pPr>
        <w:pStyle w:val="null3"/>
        <w:ind w:firstLine="2409"/>
        <w:jc w:val="both"/>
      </w:pPr>
      <w:r>
        <w:rPr>
          <w:sz w:val="24"/>
          <w:b/>
        </w:rPr>
        <w:t>项目名称：</w:t>
      </w:r>
    </w:p>
    <w:p>
      <w:pPr>
        <w:pStyle w:val="null3"/>
        <w:jc w:val="both"/>
      </w:pPr>
      <w:r>
        <w:rPr/>
        <w:t xml:space="preserve"> </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2223"/>
        <w:gridCol w:w="6083"/>
      </w:tblGrid>
      <w:tr>
        <w:tc>
          <w:tcPr>
            <w:tcW w:type="dxa" w:w="222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rPr>
              <w:t>甲方：</w:t>
            </w:r>
          </w:p>
        </w:tc>
        <w:tc>
          <w:tcPr>
            <w:tcW w:type="dxa" w:w="608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u w:val="single"/>
              </w:rPr>
              <w:t>采购人名称</w:t>
            </w:r>
          </w:p>
        </w:tc>
      </w:tr>
      <w:tr>
        <w:tc>
          <w:tcPr>
            <w:tcW w:type="dxa" w:w="222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rPr>
              <w:t>乙方：</w:t>
            </w:r>
          </w:p>
        </w:tc>
        <w:tc>
          <w:tcPr>
            <w:tcW w:type="dxa" w:w="608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u w:val="single"/>
              </w:rPr>
              <w:t>（中标</w:t>
            </w:r>
            <w:r>
              <w:rPr>
                <w:sz w:val="24"/>
                <w:u w:val="single"/>
              </w:rPr>
              <w:t>/</w:t>
            </w:r>
            <w:r>
              <w:rPr>
                <w:sz w:val="24"/>
                <w:u w:val="single"/>
              </w:rPr>
              <w:t>成交供应商名称）</w:t>
            </w:r>
          </w:p>
        </w:tc>
      </w:tr>
      <w:tr>
        <w:tc>
          <w:tcPr>
            <w:tcW w:type="dxa" w:w="222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rPr>
              <w:t>签订日期：</w:t>
            </w:r>
          </w:p>
        </w:tc>
        <w:tc>
          <w:tcPr>
            <w:tcW w:type="dxa" w:w="608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u w:val="single"/>
              </w:rPr>
              <w:t>年月日</w:t>
            </w:r>
          </w:p>
        </w:tc>
      </w:tr>
      <w:tr>
        <w:tc>
          <w:tcPr>
            <w:tcW w:type="dxa" w:w="222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rPr>
              <w:t xml:space="preserve"> </w:t>
            </w:r>
            <w:r>
              <w:rPr>
                <w:sz w:val="24"/>
              </w:rPr>
              <w:t>合同性质：</w:t>
            </w:r>
          </w:p>
        </w:tc>
        <w:tc>
          <w:tcPr>
            <w:tcW w:type="dxa" w:w="6083"/>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ind w:firstLine="380"/>
              <w:jc w:val="center"/>
            </w:pPr>
            <w:r>
              <w:rPr>
                <w:sz w:val="24"/>
              </w:rPr>
              <w:t>本合同为中小企业预留合同</w:t>
            </w:r>
          </w:p>
        </w:tc>
      </w:tr>
    </w:tbl>
    <w:p>
      <w:pPr>
        <w:pStyle w:val="null3"/>
        <w:jc w:val="both"/>
      </w:pPr>
      <w:r>
        <w:rPr>
          <w:sz w:val="24"/>
        </w:rPr>
        <w:t>根据《中华人民共和国政府采购法》《中华人民共和国民法典》和本项目采购文件的要求，经双方协商，本着平等互利和诚实信用的原则，一致同意签订本合同如下。</w:t>
      </w:r>
    </w:p>
    <w:p>
      <w:pPr>
        <w:pStyle w:val="null3"/>
        <w:jc w:val="both"/>
      </w:pPr>
      <w:r>
        <w:rPr>
          <w:sz w:val="24"/>
          <w:b/>
        </w:rPr>
        <w:t>一、项目主要内容及实现功能目标：</w:t>
      </w:r>
    </w:p>
    <w:p>
      <w:pPr>
        <w:pStyle w:val="null3"/>
        <w:jc w:val="both"/>
      </w:pPr>
      <w:r>
        <w:rPr>
          <w:b/>
        </w:rPr>
        <w:t xml:space="preserve">   </w:t>
      </w:r>
      <w:r>
        <w:rPr>
          <w:sz w:val="24"/>
          <w:b/>
        </w:rPr>
        <w:t>（一）项目概况</w:t>
      </w:r>
    </w:p>
    <w:p>
      <w:pPr>
        <w:pStyle w:val="null3"/>
        <w:ind w:firstLine="482"/>
        <w:jc w:val="both"/>
      </w:pPr>
      <w:r>
        <w:rPr>
          <w:sz w:val="24"/>
          <w:b/>
        </w:rPr>
        <w:t xml:space="preserve">1.1 </w:t>
      </w:r>
      <w:r>
        <w:rPr>
          <w:sz w:val="24"/>
          <w:b/>
        </w:rPr>
        <w:t>项目介绍</w:t>
      </w:r>
    </w:p>
    <w:p>
      <w:pPr>
        <w:pStyle w:val="null3"/>
        <w:ind w:firstLine="480"/>
        <w:jc w:val="left"/>
      </w:pPr>
      <w:r>
        <w:rPr>
          <w:sz w:val="24"/>
        </w:rPr>
        <w:t>本项目以</w:t>
      </w:r>
      <w:r>
        <w:rPr>
          <w:sz w:val="24"/>
        </w:rPr>
        <w:t xml:space="preserve">“可信、智慧、协同”为核心建设理念，拟构建“可信中枢系统 </w:t>
      </w:r>
      <w:r>
        <w:rPr>
          <w:sz w:val="24"/>
        </w:rPr>
        <w:t xml:space="preserve">+ </w:t>
      </w:r>
      <w:r>
        <w:rPr>
          <w:sz w:val="24"/>
        </w:rPr>
        <w:t>智慧大脑系统”的双中枢平台，支撑医院多院区协同治理、数据治理标准化、垂直医学模型本地训练与运行、智能体服务体系落地等能力，打造可运营、可演进、可控制的智慧医院核心能力平台。</w:t>
      </w:r>
    </w:p>
    <w:p>
      <w:pPr>
        <w:pStyle w:val="null3"/>
        <w:ind w:firstLine="482"/>
        <w:jc w:val="both"/>
      </w:pPr>
      <w:r>
        <w:rPr>
          <w:sz w:val="24"/>
          <w:b/>
        </w:rPr>
        <w:t xml:space="preserve">1.2 </w:t>
      </w:r>
      <w:r>
        <w:rPr>
          <w:sz w:val="24"/>
          <w:b/>
        </w:rPr>
        <w:t>项目建设目标</w:t>
      </w:r>
    </w:p>
    <w:p>
      <w:pPr>
        <w:pStyle w:val="null3"/>
        <w:ind w:firstLine="480"/>
        <w:jc w:val="both"/>
      </w:pPr>
      <w:r>
        <w:rPr>
          <w:sz w:val="24"/>
        </w:rPr>
        <w:t>“新一代可信智慧医工协同中枢系统”并非单一系统建设项目，而是面向医院长期智慧发展，构建具备自主能力、可持续演进和本地智能运营能力的数字能力平台体系。该体系以“可信”为根基，以“智慧”为核心手段，以“医工协同”为机制保障，以“中枢化”为系统形态，推动医院从“系统堆叠式建设”迈向“能力平台化运营”，实现真正意义上的智慧医院能力跃升。</w:t>
      </w:r>
    </w:p>
    <w:p>
      <w:pPr>
        <w:pStyle w:val="null3"/>
        <w:ind w:firstLine="480"/>
        <w:jc w:val="both"/>
      </w:pPr>
      <w:r>
        <w:rPr>
          <w:sz w:val="24"/>
        </w:rPr>
        <w:t>项目建设的核心目标，是在</w:t>
      </w:r>
      <w:r>
        <w:rPr>
          <w:sz w:val="24"/>
        </w:rPr>
        <w:t>“平台统一、智能嵌入、数据治理、模型本地化”的总体策略下，构建具备统一中枢、智能核心、场景协同、能力可控的智慧运营中枢，支撑医院在医疗服务、科研创新、管理决策、区域协同等关键场景中的能力生长与策略落地。</w:t>
      </w:r>
    </w:p>
    <w:p>
      <w:pPr>
        <w:pStyle w:val="null3"/>
        <w:ind w:firstLine="480"/>
        <w:jc w:val="both"/>
      </w:pPr>
      <w:r>
        <w:rPr>
          <w:sz w:val="24"/>
        </w:rPr>
        <w:t>围绕</w:t>
      </w:r>
      <w:r>
        <w:rPr>
          <w:sz w:val="24"/>
        </w:rPr>
        <w:t>“一院三区”深度融合与“三级甲等综合医院”创建目标，结合《广东省加快发展“人工智能</w:t>
      </w:r>
      <w:r>
        <w:rPr>
          <w:sz w:val="24"/>
        </w:rPr>
        <w:t>+</w:t>
      </w:r>
      <w:r>
        <w:rPr>
          <w:sz w:val="24"/>
        </w:rPr>
        <w:t>医疗卫生”行动方案</w:t>
      </w:r>
      <w:r>
        <w:rPr>
          <w:sz w:val="24"/>
        </w:rPr>
        <w:t>(2025</w:t>
      </w:r>
      <w:r>
        <w:rPr>
          <w:sz w:val="24"/>
        </w:rPr>
        <w:t>—</w:t>
      </w:r>
      <w:r>
        <w:rPr>
          <w:sz w:val="24"/>
        </w:rPr>
        <w:t>2027</w:t>
      </w:r>
      <w:r>
        <w:rPr>
          <w:sz w:val="24"/>
        </w:rPr>
        <w:t>年</w:t>
      </w:r>
      <w:r>
        <w:rPr>
          <w:sz w:val="24"/>
        </w:rPr>
        <w:t>)</w:t>
      </w:r>
      <w:r>
        <w:rPr>
          <w:sz w:val="24"/>
        </w:rPr>
        <w:t>》的政策引导，项目将推动人工智能在诊疗服务、辅助决策、路径干预、科研建模等方面规范落地，全面提升医疗卫生服务质量与效率，构建覆盖全生命周期的智慧健康能力体系，满足人民群众对高品质医疗服务的现实需求。</w:t>
      </w:r>
    </w:p>
    <w:p>
      <w:pPr>
        <w:pStyle w:val="null3"/>
        <w:ind w:firstLine="480"/>
        <w:jc w:val="both"/>
      </w:pPr>
      <w:r>
        <w:rPr>
          <w:sz w:val="24"/>
        </w:rPr>
        <w:t>通过分阶段、模块化建设，项目拟构建由</w:t>
      </w:r>
      <w:r>
        <w:rPr>
          <w:sz w:val="24"/>
        </w:rPr>
        <w:t xml:space="preserve">“可信调度中枢 </w:t>
      </w:r>
      <w:r>
        <w:rPr>
          <w:sz w:val="24"/>
        </w:rPr>
        <w:t xml:space="preserve">+ </w:t>
      </w:r>
      <w:r>
        <w:rPr>
          <w:sz w:val="24"/>
        </w:rPr>
        <w:t xml:space="preserve">智慧计算核心 </w:t>
      </w:r>
      <w:r>
        <w:rPr>
          <w:sz w:val="24"/>
        </w:rPr>
        <w:t xml:space="preserve">+ </w:t>
      </w:r>
      <w:r>
        <w:rPr>
          <w:sz w:val="24"/>
        </w:rPr>
        <w:t>医工协同机制”构成的三位一体能力平台，重点实现以下四大战略跃迁：</w:t>
      </w:r>
    </w:p>
    <w:p>
      <w:pPr>
        <w:pStyle w:val="null3"/>
        <w:ind w:firstLine="480"/>
        <w:jc w:val="both"/>
      </w:pPr>
      <w:r>
        <w:rPr>
          <w:sz w:val="24"/>
        </w:rPr>
        <w:t>（</w:t>
      </w:r>
      <w:r>
        <w:rPr>
          <w:sz w:val="24"/>
        </w:rPr>
        <w:t>1</w:t>
      </w:r>
      <w:r>
        <w:rPr>
          <w:sz w:val="24"/>
        </w:rPr>
        <w:t>）从系统堆叠迈向能力整合：以统一的数据接口、业务标准与流程引擎为基础，构建平台型系统架构，实现多系统能力汇聚与统一治理。</w:t>
      </w:r>
    </w:p>
    <w:p>
      <w:pPr>
        <w:pStyle w:val="null3"/>
        <w:ind w:firstLine="480"/>
        <w:jc w:val="both"/>
      </w:pPr>
      <w:r>
        <w:rPr>
          <w:sz w:val="24"/>
        </w:rPr>
        <w:t>（</w:t>
      </w:r>
      <w:r>
        <w:rPr>
          <w:sz w:val="24"/>
        </w:rPr>
        <w:t>2</w:t>
      </w:r>
      <w:r>
        <w:rPr>
          <w:sz w:val="24"/>
        </w:rPr>
        <w:t>）从信息支撑迈向智慧赋能：建设面向业务流程嵌入的角色型智能体体系，实现模型驱动、事件联动与预测辅助能力闭环。</w:t>
      </w:r>
    </w:p>
    <w:p>
      <w:pPr>
        <w:pStyle w:val="null3"/>
        <w:ind w:firstLine="480"/>
        <w:jc w:val="both"/>
      </w:pPr>
      <w:r>
        <w:rPr>
          <w:sz w:val="24"/>
        </w:rPr>
        <w:t>（</w:t>
      </w:r>
      <w:r>
        <w:rPr>
          <w:sz w:val="24"/>
        </w:rPr>
        <w:t>3</w:t>
      </w:r>
      <w:r>
        <w:rPr>
          <w:sz w:val="24"/>
        </w:rPr>
        <w:t>）从外包交付迈向医院自运营：建立院内数据资产池、模型本地训练与部署机制，实现能力本地掌控、可演进、可复用。</w:t>
      </w:r>
    </w:p>
    <w:p>
      <w:pPr>
        <w:pStyle w:val="null3"/>
        <w:ind w:firstLine="480"/>
        <w:jc w:val="both"/>
      </w:pPr>
      <w:r>
        <w:rPr>
          <w:sz w:val="24"/>
        </w:rPr>
        <w:t>（</w:t>
      </w:r>
      <w:r>
        <w:rPr>
          <w:sz w:val="24"/>
        </w:rPr>
        <w:t>4</w:t>
      </w:r>
      <w:r>
        <w:rPr>
          <w:sz w:val="24"/>
        </w:rPr>
        <w:t>）从烟囱式建设迈向闭环治理：以中枢系统为枢纽、智慧大脑为核心，实现“数据→模型→服务→反馈”全过程闭环能力。</w:t>
      </w:r>
    </w:p>
    <w:p>
      <w:pPr>
        <w:pStyle w:val="null3"/>
        <w:ind w:firstLine="480"/>
        <w:jc w:val="both"/>
      </w:pPr>
      <w:r>
        <w:rPr>
          <w:sz w:val="24"/>
        </w:rPr>
        <w:t>系统建成后，将形成一个基于可信平台、高质量数据、场景化智能与持续演进能力的</w:t>
      </w:r>
      <w:r>
        <w:rPr>
          <w:sz w:val="24"/>
        </w:rPr>
        <w:t xml:space="preserve">“智慧中枢 </w:t>
      </w:r>
      <w:r>
        <w:rPr>
          <w:sz w:val="24"/>
        </w:rPr>
        <w:t xml:space="preserve">+ </w:t>
      </w:r>
      <w:r>
        <w:rPr>
          <w:sz w:val="24"/>
        </w:rPr>
        <w:t>运营大脑”能力体系，支撑医院实现从“系统使用”到“能力治理”的关键转型，为区域医疗协同发展、专科质量提升、教学科研融合与医院长期数字主权构建提供核心支撑。</w:t>
      </w:r>
    </w:p>
    <w:p>
      <w:pPr>
        <w:pStyle w:val="null3"/>
        <w:ind w:firstLine="482"/>
        <w:jc w:val="both"/>
      </w:pPr>
      <w:r>
        <w:rPr>
          <w:sz w:val="24"/>
          <w:b/>
        </w:rPr>
        <w:t>（二）采购服务内容及要求</w:t>
      </w:r>
    </w:p>
    <w:p>
      <w:pPr>
        <w:pStyle w:val="null3"/>
        <w:ind w:firstLine="480"/>
        <w:jc w:val="both"/>
      </w:pPr>
      <w:r>
        <w:rPr>
          <w:sz w:val="24"/>
        </w:rPr>
        <w:t>2.1</w:t>
      </w:r>
      <w:r>
        <w:rPr>
          <w:sz w:val="24"/>
        </w:rPr>
        <w:t>服务总体要求</w:t>
      </w:r>
    </w:p>
    <w:p>
      <w:pPr>
        <w:pStyle w:val="null3"/>
        <w:ind w:firstLine="480"/>
        <w:jc w:val="both"/>
      </w:pPr>
      <w:r>
        <w:rPr>
          <w:sz w:val="24"/>
        </w:rPr>
        <w:t>2.1.1</w:t>
      </w:r>
      <w:r>
        <w:rPr>
          <w:sz w:val="24"/>
        </w:rPr>
        <w:t>乙方应按照采购文件及采购合同约定，为甲方提供贯穿项目规划、建设、部署、运行与支撑全过程的综合性技术服务，不得以单一软件交付、功能模块交付或局部系统建设替代本项目整体服务内容；</w:t>
      </w:r>
    </w:p>
    <w:p>
      <w:pPr>
        <w:pStyle w:val="null3"/>
        <w:ind w:firstLine="480"/>
        <w:jc w:val="both"/>
      </w:pPr>
      <w:r>
        <w:rPr>
          <w:sz w:val="24"/>
        </w:rPr>
        <w:t>2.1.2</w:t>
      </w:r>
      <w:r>
        <w:rPr>
          <w:sz w:val="24"/>
        </w:rPr>
        <w:t>本项目服务目标为构建医院级智慧医工协同中枢能力平台，服务内容应覆盖平台能力建设、数据治理、智能服务部署、医工协同机制建设及运行支撑等方面；</w:t>
      </w:r>
    </w:p>
    <w:p>
      <w:pPr>
        <w:pStyle w:val="null3"/>
        <w:ind w:firstLine="480"/>
        <w:jc w:val="both"/>
      </w:pPr>
      <w:r>
        <w:rPr>
          <w:sz w:val="24"/>
        </w:rPr>
        <w:t>2.1.3</w:t>
      </w:r>
      <w:r>
        <w:rPr>
          <w:sz w:val="24"/>
        </w:rPr>
        <w:t>项目相关平台、数据及智能能力应部署于甲方指定的运行环境；</w:t>
      </w:r>
    </w:p>
    <w:p>
      <w:pPr>
        <w:pStyle w:val="null3"/>
        <w:ind w:firstLine="480"/>
        <w:jc w:val="both"/>
      </w:pPr>
      <w:r>
        <w:rPr>
          <w:sz w:val="24"/>
        </w:rPr>
        <w:t>2.1.4</w:t>
      </w:r>
      <w:r>
        <w:rPr>
          <w:sz w:val="24"/>
        </w:rPr>
        <w:t>项目实施过程中形成的系统配置、能力目录、流程模型、运行文档等成果，应满足甲方后续自主运行、维护与扩展需要；</w:t>
      </w:r>
    </w:p>
    <w:p>
      <w:pPr>
        <w:pStyle w:val="null3"/>
        <w:ind w:firstLine="480"/>
        <w:jc w:val="both"/>
      </w:pPr>
      <w:r>
        <w:rPr>
          <w:sz w:val="24"/>
        </w:rPr>
        <w:t>2.1.5</w:t>
      </w:r>
      <w:r>
        <w:rPr>
          <w:sz w:val="24"/>
        </w:rPr>
        <w:t>乙方应建立完善的项目管理机制，明确项目负责人及实施团队成员分工，确保项目实施过程可控、有序。</w:t>
      </w:r>
    </w:p>
    <w:p>
      <w:pPr>
        <w:pStyle w:val="null3"/>
        <w:ind w:firstLine="480"/>
        <w:jc w:val="both"/>
      </w:pPr>
      <w:r>
        <w:rPr>
          <w:sz w:val="24"/>
        </w:rPr>
        <w:t>2.1.6</w:t>
      </w:r>
      <w:r>
        <w:rPr>
          <w:sz w:val="24"/>
        </w:rPr>
        <w:t>乙方应为甲方做好系统的容灾备份、数据业务恢复等工作。</w:t>
      </w:r>
    </w:p>
    <w:p>
      <w:pPr>
        <w:pStyle w:val="null3"/>
        <w:ind w:firstLine="480"/>
        <w:jc w:val="both"/>
      </w:pPr>
      <w:r>
        <w:rPr>
          <w:sz w:val="24"/>
        </w:rPr>
        <w:t>2.2</w:t>
      </w:r>
      <w:r>
        <w:rPr>
          <w:sz w:val="24"/>
        </w:rPr>
        <w:t>可信医工协同中枢平台建设服务要求</w:t>
      </w:r>
    </w:p>
    <w:p>
      <w:pPr>
        <w:pStyle w:val="null3"/>
        <w:ind w:firstLine="480"/>
        <w:jc w:val="both"/>
      </w:pPr>
      <w:r>
        <w:rPr>
          <w:sz w:val="24"/>
        </w:rPr>
        <w:t>乙方应建设统一的可信医工协同中枢平台，作为医院智慧能力体系中业务、数据、流程与服务能力的集中治理与运行支撑中枢。中枢平台应面向医院既有诊疗、护理、药事、管理及运营等相关业务系统，主要包括</w:t>
      </w:r>
      <w:r>
        <w:rPr>
          <w:sz w:val="24"/>
        </w:rPr>
        <w:t>3</w:t>
      </w:r>
      <w:r>
        <w:rPr>
          <w:sz w:val="24"/>
        </w:rPr>
        <w:t>个</w:t>
      </w:r>
      <w:r>
        <w:rPr>
          <w:sz w:val="24"/>
        </w:rPr>
        <w:t>HIS</w:t>
      </w:r>
      <w:r>
        <w:rPr>
          <w:sz w:val="24"/>
        </w:rPr>
        <w:t>系统、</w:t>
      </w:r>
      <w:r>
        <w:rPr>
          <w:sz w:val="24"/>
        </w:rPr>
        <w:t>3</w:t>
      </w:r>
      <w:r>
        <w:rPr>
          <w:sz w:val="24"/>
        </w:rPr>
        <w:t>个电子病历系统、</w:t>
      </w:r>
      <w:r>
        <w:rPr>
          <w:sz w:val="24"/>
        </w:rPr>
        <w:t>3</w:t>
      </w:r>
      <w:r>
        <w:rPr>
          <w:sz w:val="24"/>
        </w:rPr>
        <w:t>个影像系统和</w:t>
      </w:r>
      <w:r>
        <w:rPr>
          <w:sz w:val="24"/>
        </w:rPr>
        <w:t>1</w:t>
      </w:r>
      <w:r>
        <w:rPr>
          <w:sz w:val="24"/>
        </w:rPr>
        <w:t>个检验系统，提供统一承载、标准化封装与协同治理能力，逐步推动业务能力的平台化运行与有序演进，避免简单叠加建设或重复开发。</w:t>
      </w:r>
    </w:p>
    <w:p>
      <w:pPr>
        <w:pStyle w:val="null3"/>
        <w:ind w:firstLine="480"/>
        <w:jc w:val="both"/>
      </w:pPr>
      <w:r>
        <w:rPr>
          <w:sz w:val="24"/>
        </w:rPr>
        <w:t>中枢平台重点承担系统级能力托管、运行调度与协同支撑职责，主要包括业务能力汇聚、数据服务治理对接、流程整合运行、统一身份与权限管理、运行监控与审计等内容；不承担智能模型、智能算法或智能决策逻辑本身的实现责任。</w:t>
      </w:r>
    </w:p>
    <w:p>
      <w:pPr>
        <w:pStyle w:val="null3"/>
        <w:ind w:firstLine="480"/>
        <w:jc w:val="both"/>
      </w:pPr>
      <w:r>
        <w:rPr>
          <w:sz w:val="24"/>
        </w:rPr>
        <w:t>本项目不以简单替换或整体重建既有业务系统为目标，而是通过建设可信医工协同中枢平台，对医院现有业务系统能力进行并行接入、能力封装与流程整合，在保障医疗业务连续性、数据安全性和系统稳定运行的前提下，逐步实现跨系统能力协同与平台化运行。</w:t>
      </w:r>
    </w:p>
    <w:p>
      <w:pPr>
        <w:pStyle w:val="null3"/>
        <w:ind w:firstLine="480"/>
        <w:jc w:val="both"/>
      </w:pPr>
      <w:r>
        <w:rPr>
          <w:sz w:val="24"/>
        </w:rPr>
        <w:t>中枢平台应支持既有系统与新建能力的并行运行与平滑演进，能够根据医院管理需求和实际运行效果，对业务能力进行统一调度与优化配置。对于功能重叠、技术架构陈旧或难以满足医院中长期发展需求的业务模块，可在项目实施过程中，结合运行情况，通过能力重构、流程优化或平台化承载等方式予以优化调整，相关实施路径与节奏由甲方统筹确定。</w:t>
      </w:r>
    </w:p>
    <w:p>
      <w:pPr>
        <w:pStyle w:val="null3"/>
        <w:ind w:firstLine="480"/>
        <w:jc w:val="both"/>
      </w:pPr>
      <w:r>
        <w:rPr>
          <w:sz w:val="24"/>
        </w:rPr>
        <w:t xml:space="preserve">2.2.1 </w:t>
      </w:r>
      <w:r>
        <w:rPr>
          <w:sz w:val="24"/>
        </w:rPr>
        <w:t>中枢平台总体要求</w:t>
      </w:r>
    </w:p>
    <w:p>
      <w:pPr>
        <w:pStyle w:val="null3"/>
        <w:ind w:firstLine="480"/>
        <w:jc w:val="both"/>
      </w:pPr>
      <w:r>
        <w:rPr>
          <w:sz w:val="24"/>
        </w:rPr>
        <w:t>中枢平台应满足以下基本要求：</w:t>
      </w:r>
    </w:p>
    <w:p>
      <w:pPr>
        <w:pStyle w:val="null3"/>
        <w:ind w:firstLine="480"/>
        <w:jc w:val="both"/>
      </w:pPr>
      <w:r>
        <w:rPr>
          <w:sz w:val="24"/>
        </w:rPr>
        <w:t>（</w:t>
      </w:r>
      <w:r>
        <w:rPr>
          <w:sz w:val="24"/>
        </w:rPr>
        <w:t>1</w:t>
      </w:r>
      <w:r>
        <w:rPr>
          <w:sz w:val="24"/>
        </w:rPr>
        <w:t>）支持多院区、多业务系统并行接入与统一治理；</w:t>
      </w:r>
    </w:p>
    <w:p>
      <w:pPr>
        <w:pStyle w:val="null3"/>
        <w:ind w:firstLine="480"/>
        <w:jc w:val="both"/>
      </w:pPr>
      <w:r>
        <w:rPr>
          <w:sz w:val="24"/>
        </w:rPr>
        <w:t>（</w:t>
      </w:r>
      <w:r>
        <w:rPr>
          <w:sz w:val="24"/>
        </w:rPr>
        <w:t>2</w:t>
      </w:r>
      <w:r>
        <w:rPr>
          <w:sz w:val="24"/>
        </w:rPr>
        <w:t>）支持院内异构系统的能力汇聚、标准化封装与统一调度；</w:t>
      </w:r>
    </w:p>
    <w:p>
      <w:pPr>
        <w:pStyle w:val="null3"/>
        <w:ind w:firstLine="480"/>
        <w:jc w:val="both"/>
      </w:pPr>
      <w:r>
        <w:rPr>
          <w:sz w:val="24"/>
        </w:rPr>
        <w:t>（</w:t>
      </w:r>
      <w:r>
        <w:rPr>
          <w:sz w:val="24"/>
        </w:rPr>
        <w:t>3</w:t>
      </w:r>
      <w:r>
        <w:rPr>
          <w:sz w:val="24"/>
        </w:rPr>
        <w:t>）作为智慧大脑系统及其他智能能力的运行支撑与调用枢纽；</w:t>
      </w:r>
    </w:p>
    <w:p>
      <w:pPr>
        <w:pStyle w:val="null3"/>
        <w:ind w:firstLine="480"/>
        <w:jc w:val="both"/>
      </w:pPr>
      <w:r>
        <w:rPr>
          <w:sz w:val="24"/>
        </w:rPr>
        <w:t>（</w:t>
      </w:r>
      <w:r>
        <w:rPr>
          <w:sz w:val="24"/>
        </w:rPr>
        <w:t>4</w:t>
      </w:r>
      <w:r>
        <w:rPr>
          <w:sz w:val="24"/>
        </w:rPr>
        <w:t>）平台应具备长期运行、持续扩展与能力演进支撑能力。</w:t>
      </w:r>
    </w:p>
    <w:p>
      <w:pPr>
        <w:pStyle w:val="null3"/>
        <w:ind w:firstLine="480"/>
        <w:jc w:val="both"/>
      </w:pPr>
      <w:r>
        <w:rPr>
          <w:sz w:val="24"/>
        </w:rPr>
        <w:t xml:space="preserve">2.2.2 </w:t>
      </w:r>
      <w:r>
        <w:rPr>
          <w:sz w:val="24"/>
        </w:rPr>
        <w:t>中枢平台核心能力要求</w:t>
      </w:r>
    </w:p>
    <w:p>
      <w:pPr>
        <w:pStyle w:val="null3"/>
        <w:ind w:firstLine="480"/>
        <w:jc w:val="both"/>
      </w:pPr>
      <w:r>
        <w:rPr>
          <w:sz w:val="24"/>
        </w:rPr>
        <w:t>中枢平台至少应具备以下能力：</w:t>
      </w:r>
    </w:p>
    <w:p>
      <w:pPr>
        <w:pStyle w:val="null3"/>
        <w:ind w:firstLine="480"/>
        <w:jc w:val="both"/>
      </w:pPr>
      <w:r>
        <w:rPr>
          <w:sz w:val="24"/>
        </w:rPr>
        <w:t>（</w:t>
      </w:r>
      <w:r>
        <w:rPr>
          <w:sz w:val="24"/>
        </w:rPr>
        <w:t>1</w:t>
      </w:r>
      <w:r>
        <w:rPr>
          <w:sz w:val="24"/>
        </w:rPr>
        <w:t>）统一数据接入与服务化能力</w:t>
      </w:r>
    </w:p>
    <w:p>
      <w:pPr>
        <w:pStyle w:val="null3"/>
        <w:ind w:firstLine="480"/>
        <w:jc w:val="both"/>
      </w:pPr>
      <w:r>
        <w:rPr>
          <w:sz w:val="24"/>
        </w:rPr>
        <w:t>①支持院内各业务系统的数据接入、同步与服务化输出；</w:t>
      </w:r>
    </w:p>
    <w:p>
      <w:pPr>
        <w:pStyle w:val="null3"/>
        <w:ind w:firstLine="480"/>
        <w:jc w:val="both"/>
      </w:pPr>
      <w:r>
        <w:rPr>
          <w:sz w:val="24"/>
        </w:rPr>
        <w:t>②支持主数据管理、数据标准统一及数据口径一致性控制；</w:t>
      </w:r>
    </w:p>
    <w:p>
      <w:pPr>
        <w:pStyle w:val="null3"/>
        <w:ind w:firstLine="480"/>
        <w:jc w:val="both"/>
      </w:pPr>
      <w:r>
        <w:rPr>
          <w:sz w:val="24"/>
        </w:rPr>
        <w:t>③支持数据服务注册、调用与权限控制。</w:t>
      </w:r>
    </w:p>
    <w:p>
      <w:pPr>
        <w:pStyle w:val="null3"/>
        <w:ind w:firstLine="480"/>
        <w:jc w:val="both"/>
      </w:pPr>
      <w:r>
        <w:rPr>
          <w:sz w:val="24"/>
        </w:rPr>
        <w:t>（</w:t>
      </w:r>
      <w:r>
        <w:rPr>
          <w:sz w:val="24"/>
        </w:rPr>
        <w:t>2</w:t>
      </w:r>
      <w:r>
        <w:rPr>
          <w:sz w:val="24"/>
        </w:rPr>
        <w:t>）跨系统业务流程整合与运行监控能力</w:t>
      </w:r>
    </w:p>
    <w:p>
      <w:pPr>
        <w:pStyle w:val="null3"/>
        <w:ind w:firstLine="480"/>
        <w:jc w:val="both"/>
      </w:pPr>
      <w:r>
        <w:rPr>
          <w:sz w:val="24"/>
        </w:rPr>
        <w:t>①支持跨系统业务流程的整合、发布与运行；</w:t>
      </w:r>
    </w:p>
    <w:p>
      <w:pPr>
        <w:pStyle w:val="null3"/>
        <w:ind w:firstLine="480"/>
        <w:jc w:val="both"/>
      </w:pPr>
      <w:r>
        <w:rPr>
          <w:sz w:val="24"/>
        </w:rPr>
        <w:t>②支持流程状态监控、异常提示与运行日志记录。</w:t>
      </w:r>
    </w:p>
    <w:p>
      <w:pPr>
        <w:pStyle w:val="null3"/>
        <w:ind w:firstLine="480"/>
        <w:jc w:val="both"/>
      </w:pPr>
      <w:r>
        <w:rPr>
          <w:sz w:val="24"/>
        </w:rPr>
        <w:t>（</w:t>
      </w:r>
      <w:r>
        <w:rPr>
          <w:sz w:val="24"/>
        </w:rPr>
        <w:t>3</w:t>
      </w:r>
      <w:r>
        <w:rPr>
          <w:sz w:val="24"/>
        </w:rPr>
        <w:t>）统一身份认证与权限集中管理能力</w:t>
      </w:r>
    </w:p>
    <w:p>
      <w:pPr>
        <w:pStyle w:val="null3"/>
        <w:ind w:firstLine="480"/>
        <w:jc w:val="both"/>
      </w:pPr>
      <w:r>
        <w:rPr>
          <w:sz w:val="24"/>
        </w:rPr>
        <w:t>①支持统一身份认证（</w:t>
      </w:r>
      <w:r>
        <w:rPr>
          <w:sz w:val="24"/>
        </w:rPr>
        <w:t>SSO</w:t>
      </w:r>
      <w:r>
        <w:rPr>
          <w:sz w:val="24"/>
        </w:rPr>
        <w:t>）与用户集中管理；</w:t>
      </w:r>
    </w:p>
    <w:p>
      <w:pPr>
        <w:pStyle w:val="null3"/>
        <w:ind w:firstLine="480"/>
        <w:jc w:val="both"/>
      </w:pPr>
      <w:r>
        <w:rPr>
          <w:sz w:val="24"/>
        </w:rPr>
        <w:t>②支持基于角色的权限分级与访问控制；</w:t>
      </w:r>
    </w:p>
    <w:p>
      <w:pPr>
        <w:pStyle w:val="null3"/>
        <w:ind w:firstLine="480"/>
        <w:jc w:val="both"/>
      </w:pPr>
      <w:r>
        <w:rPr>
          <w:sz w:val="24"/>
        </w:rPr>
        <w:t>③支持对系统操作与数据访问行为的审计与追溯。</w:t>
      </w:r>
    </w:p>
    <w:p>
      <w:pPr>
        <w:pStyle w:val="null3"/>
        <w:ind w:firstLine="480"/>
        <w:jc w:val="both"/>
      </w:pPr>
      <w:r>
        <w:rPr>
          <w:sz w:val="24"/>
        </w:rPr>
        <w:t>（</w:t>
      </w:r>
      <w:r>
        <w:rPr>
          <w:sz w:val="24"/>
        </w:rPr>
        <w:t>4</w:t>
      </w:r>
      <w:r>
        <w:rPr>
          <w:sz w:val="24"/>
        </w:rPr>
        <w:t>）能力调用与运行支撑能力</w:t>
      </w:r>
    </w:p>
    <w:p>
      <w:pPr>
        <w:pStyle w:val="null3"/>
        <w:ind w:firstLine="480"/>
        <w:jc w:val="both"/>
      </w:pPr>
      <w:r>
        <w:rPr>
          <w:sz w:val="24"/>
        </w:rPr>
        <w:t>①支持为智慧大脑系统及其他智能服务提供标准化调用接口；</w:t>
      </w:r>
    </w:p>
    <w:p>
      <w:pPr>
        <w:pStyle w:val="null3"/>
        <w:ind w:firstLine="480"/>
        <w:jc w:val="both"/>
      </w:pPr>
      <w:r>
        <w:rPr>
          <w:sz w:val="24"/>
        </w:rPr>
        <w:t>②支持将外部智能服务作为“能力节点”嵌入既有业务流程；</w:t>
      </w:r>
    </w:p>
    <w:p>
      <w:pPr>
        <w:pStyle w:val="null3"/>
        <w:ind w:firstLine="480"/>
        <w:jc w:val="both"/>
      </w:pPr>
      <w:r>
        <w:rPr>
          <w:sz w:val="24"/>
        </w:rPr>
        <w:t>③中枢平台仅对调用过程、运行状态与接口可用性负责，不对智能结果本身负责。</w:t>
      </w:r>
    </w:p>
    <w:p>
      <w:pPr>
        <w:pStyle w:val="null3"/>
        <w:ind w:firstLine="480"/>
        <w:jc w:val="both"/>
      </w:pPr>
      <w:r>
        <w:rPr>
          <w:sz w:val="24"/>
        </w:rPr>
        <w:t xml:space="preserve">2.2.3 </w:t>
      </w:r>
      <w:r>
        <w:rPr>
          <w:sz w:val="24"/>
        </w:rPr>
        <w:t>运行监控与可审计要求</w:t>
      </w:r>
    </w:p>
    <w:p>
      <w:pPr>
        <w:pStyle w:val="null3"/>
        <w:ind w:firstLine="480"/>
        <w:jc w:val="both"/>
      </w:pPr>
      <w:r>
        <w:rPr>
          <w:sz w:val="24"/>
        </w:rPr>
        <w:t>①中枢平台应具备统一的运行日志、操作日志与审计日志管理能力；</w:t>
      </w:r>
    </w:p>
    <w:p>
      <w:pPr>
        <w:pStyle w:val="null3"/>
        <w:ind w:firstLine="480"/>
        <w:jc w:val="both"/>
      </w:pPr>
      <w:r>
        <w:rPr>
          <w:sz w:val="24"/>
        </w:rPr>
        <w:t>②系统操作、流程执行、服务调用过程应支持全程留痕；</w:t>
      </w:r>
    </w:p>
    <w:p>
      <w:pPr>
        <w:pStyle w:val="null3"/>
        <w:ind w:firstLine="480"/>
        <w:jc w:val="both"/>
      </w:pPr>
      <w:r>
        <w:rPr>
          <w:sz w:val="24"/>
        </w:rPr>
        <w:t>③日志应支持按时间、用户、系统、流程等维度进行查询与回溯；</w:t>
      </w:r>
    </w:p>
    <w:p>
      <w:pPr>
        <w:pStyle w:val="null3"/>
        <w:ind w:firstLine="480"/>
        <w:jc w:val="both"/>
      </w:pPr>
      <w:r>
        <w:rPr>
          <w:sz w:val="24"/>
        </w:rPr>
        <w:t>④审计范围限于平台运行与调用行为，不包含智能模型内部运行逻辑。</w:t>
      </w:r>
      <w:r>
        <w:rPr>
          <w:sz w:val="24"/>
        </w:rPr>
        <w:t>2.3</w:t>
      </w:r>
      <w:r>
        <w:rPr>
          <w:sz w:val="24"/>
        </w:rPr>
        <w:t>智慧大脑系统与智能服务运行要求</w:t>
      </w:r>
    </w:p>
    <w:p>
      <w:pPr>
        <w:pStyle w:val="null3"/>
        <w:ind w:firstLine="480"/>
        <w:jc w:val="both"/>
      </w:pPr>
      <w:r>
        <w:rPr>
          <w:sz w:val="24"/>
        </w:rPr>
        <w:t>2.3.1</w:t>
      </w:r>
      <w:r>
        <w:rPr>
          <w:sz w:val="24"/>
        </w:rPr>
        <w:t>乙方应建设医院级智慧大脑系统，作为智能模型与智能体统一运行、管理与调度的平台；</w:t>
      </w:r>
    </w:p>
    <w:p>
      <w:pPr>
        <w:pStyle w:val="null3"/>
        <w:ind w:firstLine="480"/>
        <w:jc w:val="both"/>
      </w:pPr>
      <w:r>
        <w:rPr>
          <w:sz w:val="24"/>
        </w:rPr>
        <w:t>2.3.2</w:t>
      </w:r>
      <w:r>
        <w:rPr>
          <w:sz w:val="24"/>
        </w:rPr>
        <w:t>智慧大脑系统应支持模型注册、部署、运行、版本管理、权限控制及下线管理等全生命周期管理功能；</w:t>
      </w:r>
    </w:p>
    <w:p>
      <w:pPr>
        <w:pStyle w:val="null3"/>
        <w:ind w:firstLine="480"/>
        <w:jc w:val="both"/>
      </w:pPr>
      <w:r>
        <w:rPr>
          <w:sz w:val="24"/>
        </w:rPr>
        <w:t>2.3.3</w:t>
      </w:r>
      <w:r>
        <w:rPr>
          <w:sz w:val="24"/>
        </w:rPr>
        <w:t>模型运行过程中应支持运行状态监控、结果回溯及人工干预，不得形成不可解释、不可控制（如：采纳</w:t>
      </w:r>
      <w:r>
        <w:rPr>
          <w:sz w:val="24"/>
        </w:rPr>
        <w:t>/</w:t>
      </w:r>
      <w:r>
        <w:rPr>
          <w:sz w:val="24"/>
        </w:rPr>
        <w:t>否决</w:t>
      </w:r>
      <w:r>
        <w:rPr>
          <w:sz w:val="24"/>
        </w:rPr>
        <w:t>/</w:t>
      </w:r>
      <w:r>
        <w:rPr>
          <w:sz w:val="24"/>
        </w:rPr>
        <w:t>修正）的自动决策机制；</w:t>
      </w:r>
    </w:p>
    <w:p>
      <w:pPr>
        <w:pStyle w:val="null3"/>
        <w:ind w:firstLine="480"/>
        <w:jc w:val="both"/>
      </w:pPr>
      <w:r>
        <w:rPr>
          <w:sz w:val="24"/>
        </w:rPr>
        <w:t>2.3.4</w:t>
      </w:r>
      <w:r>
        <w:rPr>
          <w:sz w:val="24"/>
        </w:rPr>
        <w:t>智能能力应嵌入医院业务流程或管理场景，不得仅以独立演示系统或实验性工具形式交付；</w:t>
      </w:r>
    </w:p>
    <w:p>
      <w:pPr>
        <w:pStyle w:val="null3"/>
        <w:ind w:firstLine="480"/>
        <w:jc w:val="both"/>
      </w:pPr>
      <w:r>
        <w:rPr>
          <w:sz w:val="24"/>
        </w:rPr>
        <w:t>2.3.5</w:t>
      </w:r>
      <w:r>
        <w:rPr>
          <w:sz w:val="24"/>
        </w:rPr>
        <w:t>首期应围绕医院高频、典型业务场景完成若干智能服务部署，具体智能体类型及应用场景由甲方确认。</w:t>
      </w:r>
    </w:p>
    <w:p>
      <w:pPr>
        <w:pStyle w:val="null3"/>
        <w:ind w:firstLine="480"/>
        <w:jc w:val="both"/>
      </w:pPr>
      <w:r>
        <w:rPr>
          <w:sz w:val="24"/>
        </w:rPr>
        <w:t>2.4</w:t>
      </w:r>
      <w:r>
        <w:rPr>
          <w:sz w:val="24"/>
        </w:rPr>
        <w:t>数据治理与指标体系建设服务要求</w:t>
      </w:r>
    </w:p>
    <w:p>
      <w:pPr>
        <w:pStyle w:val="null3"/>
        <w:ind w:firstLine="480"/>
        <w:jc w:val="both"/>
      </w:pPr>
      <w:r>
        <w:rPr>
          <w:sz w:val="24"/>
        </w:rPr>
        <w:t>2.4.1</w:t>
      </w:r>
      <w:r>
        <w:rPr>
          <w:sz w:val="24"/>
        </w:rPr>
        <w:t>乙方应协助甲方建立统一的数据标准、指标口径与主数据管理体系，确保数据语义一致、口径统一；</w:t>
      </w:r>
    </w:p>
    <w:p>
      <w:pPr>
        <w:pStyle w:val="null3"/>
        <w:ind w:firstLine="480"/>
        <w:jc w:val="both"/>
      </w:pPr>
      <w:r>
        <w:rPr>
          <w:sz w:val="24"/>
        </w:rPr>
        <w:t>2.4.2</w:t>
      </w:r>
      <w:r>
        <w:rPr>
          <w:sz w:val="24"/>
        </w:rPr>
        <w:t>数据治理服务应覆盖数据接入、清洗、质量控制、服务化输出等全过程；</w:t>
      </w:r>
    </w:p>
    <w:p>
      <w:pPr>
        <w:pStyle w:val="null3"/>
        <w:ind w:firstLine="480"/>
        <w:jc w:val="both"/>
      </w:pPr>
      <w:r>
        <w:rPr>
          <w:sz w:val="24"/>
        </w:rPr>
        <w:t>2.4.3</w:t>
      </w:r>
      <w:r>
        <w:rPr>
          <w:sz w:val="24"/>
        </w:rPr>
        <w:t>数据服务应支持中枢平台、智慧大脑及智能体的稳定调用，不得出现数据来源不明、口径冲突等问题；</w:t>
      </w:r>
    </w:p>
    <w:p>
      <w:pPr>
        <w:pStyle w:val="null3"/>
        <w:ind w:firstLine="480"/>
        <w:jc w:val="both"/>
      </w:pPr>
      <w:r>
        <w:rPr>
          <w:sz w:val="24"/>
        </w:rPr>
        <w:t>2.4.4</w:t>
      </w:r>
      <w:r>
        <w:rPr>
          <w:sz w:val="24"/>
        </w:rPr>
        <w:t>数据使用过程应符合国家及行业关于医疗数据安全、隐私保护及合规管理的相关规定。</w:t>
      </w:r>
    </w:p>
    <w:p>
      <w:pPr>
        <w:pStyle w:val="null3"/>
        <w:ind w:firstLine="480"/>
        <w:jc w:val="both"/>
      </w:pPr>
      <w:r>
        <w:rPr>
          <w:sz w:val="24"/>
        </w:rPr>
        <w:t>2.5</w:t>
      </w:r>
      <w:r>
        <w:rPr>
          <w:sz w:val="24"/>
        </w:rPr>
        <w:t>医工协同机制与运行支撑服务要求</w:t>
      </w:r>
    </w:p>
    <w:p>
      <w:pPr>
        <w:pStyle w:val="null3"/>
        <w:ind w:firstLine="480"/>
        <w:jc w:val="both"/>
      </w:pPr>
      <w:r>
        <w:rPr>
          <w:sz w:val="24"/>
        </w:rPr>
        <w:t>2.5.1</w:t>
      </w:r>
      <w:r>
        <w:rPr>
          <w:sz w:val="24"/>
        </w:rPr>
        <w:t>乙方应协助甲方建立医工协同运行机制，明确医疗业务与技术支撑的协作模式；</w:t>
      </w:r>
    </w:p>
    <w:p>
      <w:pPr>
        <w:pStyle w:val="null3"/>
        <w:ind w:firstLine="480"/>
        <w:jc w:val="both"/>
      </w:pPr>
      <w:r>
        <w:rPr>
          <w:sz w:val="24"/>
        </w:rPr>
        <w:t>2.5.2</w:t>
      </w:r>
      <w:r>
        <w:rPr>
          <w:sz w:val="24"/>
        </w:rPr>
        <w:t>应支持“需求共建、方案共评、效果共调”的协同流程，形成可执行、可持续的协作机制；</w:t>
      </w:r>
    </w:p>
    <w:p>
      <w:pPr>
        <w:pStyle w:val="null3"/>
        <w:ind w:firstLine="480"/>
        <w:jc w:val="both"/>
      </w:pPr>
      <w:r>
        <w:rPr>
          <w:sz w:val="24"/>
        </w:rPr>
        <w:t>2.5.3</w:t>
      </w:r>
      <w:r>
        <w:rPr>
          <w:sz w:val="24"/>
        </w:rPr>
        <w:t>项目实施完成后，乙方应提供必要的运行支撑服务，包括但不限于平台运维支持、问题响应及运行优化建议；</w:t>
      </w:r>
    </w:p>
    <w:p>
      <w:pPr>
        <w:pStyle w:val="null3"/>
        <w:ind w:firstLine="480"/>
        <w:jc w:val="both"/>
      </w:pPr>
      <w:r>
        <w:rPr>
          <w:sz w:val="24"/>
        </w:rPr>
        <w:t>2.5.4</w:t>
      </w:r>
      <w:r>
        <w:rPr>
          <w:sz w:val="24"/>
        </w:rPr>
        <w:t>乙方应按甲方要求提供相关培训服务，确保医院相关人员具备平台使用与基本管理能力。</w:t>
      </w:r>
    </w:p>
    <w:p>
      <w:pPr>
        <w:pStyle w:val="null3"/>
        <w:ind w:firstLine="480"/>
        <w:jc w:val="both"/>
      </w:pPr>
      <w:r>
        <w:rPr>
          <w:sz w:val="24"/>
        </w:rPr>
        <w:t>2.6</w:t>
      </w:r>
      <w:r>
        <w:rPr>
          <w:sz w:val="24"/>
        </w:rPr>
        <w:t>其他要求</w:t>
      </w:r>
    </w:p>
    <w:p>
      <w:pPr>
        <w:pStyle w:val="null3"/>
        <w:ind w:firstLine="480"/>
        <w:jc w:val="both"/>
      </w:pPr>
      <w:r>
        <w:rPr>
          <w:sz w:val="24"/>
        </w:rPr>
        <w:t>2.6.1</w:t>
      </w:r>
      <w:r>
        <w:rPr>
          <w:sz w:val="24"/>
        </w:rPr>
        <w:t>乙方在项目实施过程中获取的业务数据、系统信息及相关资料，均属于甲方或相关权利主体，乙方应严格履行保密义务；</w:t>
      </w:r>
    </w:p>
    <w:p>
      <w:pPr>
        <w:pStyle w:val="null3"/>
        <w:ind w:firstLine="480"/>
        <w:jc w:val="both"/>
      </w:pPr>
      <w:r>
        <w:rPr>
          <w:sz w:val="24"/>
        </w:rPr>
        <w:t>2.6.2</w:t>
      </w:r>
      <w:r>
        <w:rPr>
          <w:sz w:val="24"/>
        </w:rPr>
        <w:t>项目交付成果中涉及的系统配置文档、运行文档及相关成果，其使用权归甲方所有；</w:t>
      </w:r>
    </w:p>
    <w:p>
      <w:pPr>
        <w:pStyle w:val="null3"/>
        <w:ind w:firstLine="480"/>
        <w:jc w:val="both"/>
      </w:pPr>
      <w:r>
        <w:rPr>
          <w:sz w:val="24"/>
        </w:rPr>
        <w:t>2.6.3</w:t>
      </w:r>
      <w:r>
        <w:rPr>
          <w:sz w:val="24"/>
        </w:rPr>
        <w:t>乙方应确保其提供的服务及成果不侵犯任何第三方的合法权益，如因此产生纠纷，由乙方自行承担相关责任。</w:t>
      </w:r>
    </w:p>
    <w:p>
      <w:pPr>
        <w:pStyle w:val="null3"/>
        <w:ind w:firstLine="482"/>
        <w:jc w:val="both"/>
      </w:pPr>
      <w:r>
        <w:rPr>
          <w:sz w:val="24"/>
          <w:b/>
        </w:rPr>
        <w:t>（三）采购服务技术及管理要求</w:t>
      </w:r>
    </w:p>
    <w:p>
      <w:pPr>
        <w:pStyle w:val="null3"/>
        <w:ind w:firstLine="480"/>
        <w:jc w:val="both"/>
      </w:pPr>
      <w:r>
        <w:rPr>
          <w:sz w:val="24"/>
        </w:rPr>
        <w:t>3.1</w:t>
      </w:r>
      <w:r>
        <w:rPr>
          <w:sz w:val="24"/>
        </w:rPr>
        <w:t>技术总体要求</w:t>
      </w:r>
    </w:p>
    <w:p>
      <w:pPr>
        <w:pStyle w:val="null3"/>
        <w:ind w:firstLine="480"/>
        <w:jc w:val="both"/>
      </w:pPr>
      <w:r>
        <w:rPr>
          <w:sz w:val="24"/>
        </w:rPr>
        <w:t>3.1.1</w:t>
      </w:r>
      <w:r>
        <w:rPr>
          <w:sz w:val="24"/>
        </w:rPr>
        <w:t>本项目技术方案应以“平台化、可运营、可持续演进”为总体目标，不得以单一系统集成或功能堆叠式方案替代；应形成可持续运行的能力平台体系，支撑多院区、多系统的统一治理与能力复用。</w:t>
      </w:r>
    </w:p>
    <w:p>
      <w:pPr>
        <w:pStyle w:val="null3"/>
        <w:ind w:firstLine="480"/>
        <w:jc w:val="both"/>
      </w:pPr>
      <w:r>
        <w:rPr>
          <w:sz w:val="24"/>
        </w:rPr>
        <w:t>3.1.2</w:t>
      </w:r>
      <w:r>
        <w:rPr>
          <w:sz w:val="24"/>
        </w:rPr>
        <w:t>技术方案应与甲方现有业务系统保持兼容</w:t>
      </w:r>
      <w:r>
        <w:rPr>
          <w:sz w:val="24"/>
        </w:rPr>
        <w:t>,</w:t>
      </w:r>
      <w:r>
        <w:rPr>
          <w:sz w:val="24"/>
        </w:rPr>
        <w:t>能更好的支撑医院已经实施的人工智能应用成果覆盖到更多使用务场景。实施及运行过程中应明确平台运行边界、能力范围与扩展机制，避免形成封闭、不可替代的技术路径依赖。</w:t>
      </w:r>
    </w:p>
    <w:p>
      <w:pPr>
        <w:pStyle w:val="null3"/>
        <w:ind w:firstLine="480"/>
        <w:jc w:val="both"/>
      </w:pPr>
      <w:r>
        <w:rPr>
          <w:sz w:val="24"/>
        </w:rPr>
        <w:t>3.1.3</w:t>
      </w:r>
      <w:r>
        <w:rPr>
          <w:sz w:val="24"/>
        </w:rPr>
        <w:t>中枢平台应支持人工智能大模型对既有系统业务能力的并行接入、标准化封装与统一承载；应支持人工智能数据工程的有效实施，建设院内高质量数据集建设与医疗垂直模型研发能力建设；在保障业务连续性与数据安全的前提下，支持人工智能技术在平台上的协同运行与有序演进。</w:t>
      </w:r>
    </w:p>
    <w:p>
      <w:pPr>
        <w:pStyle w:val="null3"/>
        <w:ind w:firstLine="480"/>
        <w:jc w:val="both"/>
      </w:pPr>
      <w:r>
        <w:rPr>
          <w:sz w:val="24"/>
        </w:rPr>
        <w:t>3.1.4</w:t>
      </w:r>
      <w:r>
        <w:rPr>
          <w:sz w:val="24"/>
        </w:rPr>
        <w:t>是否开展能力迁移、业务或重构，应结合医院实际运行效果与管理需求，由甲方统筹确定实施路径与节奏；对于功能重叠、能力老化或难以满足中长期发展需求的模块，可在项目实施过程中通过能力重构、流程重组或平台化承载等方式进行优化调整，但不要求一次性完成全部调整。</w:t>
      </w:r>
    </w:p>
    <w:p>
      <w:pPr>
        <w:pStyle w:val="null3"/>
        <w:ind w:firstLine="480"/>
        <w:jc w:val="both"/>
      </w:pPr>
      <w:r>
        <w:rPr>
          <w:sz w:val="24"/>
        </w:rPr>
        <w:t>3.2</w:t>
      </w:r>
      <w:r>
        <w:rPr>
          <w:sz w:val="24"/>
        </w:rPr>
        <w:t>可信与可控技术要求</w:t>
      </w:r>
    </w:p>
    <w:p>
      <w:pPr>
        <w:pStyle w:val="null3"/>
        <w:ind w:firstLine="480"/>
        <w:jc w:val="both"/>
      </w:pPr>
      <w:r>
        <w:rPr>
          <w:sz w:val="24"/>
        </w:rPr>
        <w:t>3.2.1</w:t>
      </w:r>
      <w:r>
        <w:rPr>
          <w:sz w:val="24"/>
        </w:rPr>
        <w:t>系统可控性要求</w:t>
      </w:r>
    </w:p>
    <w:p>
      <w:pPr>
        <w:pStyle w:val="null3"/>
        <w:ind w:firstLine="480"/>
        <w:jc w:val="both"/>
      </w:pPr>
      <w:r>
        <w:rPr>
          <w:sz w:val="24"/>
        </w:rPr>
        <w:t>（</w:t>
      </w:r>
      <w:r>
        <w:rPr>
          <w:sz w:val="24"/>
        </w:rPr>
        <w:t>1</w:t>
      </w:r>
      <w:r>
        <w:rPr>
          <w:sz w:val="24"/>
        </w:rPr>
        <w:t>）平台核心能力应部署于甲方指定的本地运行环境（含多院区部署要求），关键配置与运行参数可由甲方自主控制。生产运行阶段的系统整体可用性不低于</w:t>
      </w:r>
      <w:r>
        <w:rPr>
          <w:sz w:val="24"/>
        </w:rPr>
        <w:t>99.5%</w:t>
      </w:r>
      <w:r>
        <w:rPr>
          <w:sz w:val="24"/>
        </w:rPr>
        <w:t xml:space="preserve">（可用性按以下公式计算：可用性 </w:t>
      </w:r>
      <w:r>
        <w:rPr>
          <w:sz w:val="24"/>
        </w:rPr>
        <w:t>=</w:t>
      </w:r>
      <w:r>
        <w:rPr>
          <w:sz w:val="24"/>
        </w:rPr>
        <w:t xml:space="preserve">（统计周期内总运行时间 </w:t>
      </w:r>
      <w:r>
        <w:rPr>
          <w:sz w:val="24"/>
        </w:rPr>
        <w:t xml:space="preserve">- </w:t>
      </w:r>
      <w:r>
        <w:rPr>
          <w:sz w:val="24"/>
        </w:rPr>
        <w:t>故障累计时间）</w:t>
      </w:r>
      <w:r>
        <w:rPr>
          <w:sz w:val="24"/>
        </w:rPr>
        <w:t xml:space="preserve">/ </w:t>
      </w:r>
      <w:r>
        <w:rPr>
          <w:sz w:val="24"/>
        </w:rPr>
        <w:t>总运行时间 ×</w:t>
      </w:r>
      <w:r>
        <w:rPr>
          <w:sz w:val="24"/>
        </w:rPr>
        <w:t xml:space="preserve">100% </w:t>
      </w:r>
      <w:r>
        <w:rPr>
          <w:sz w:val="24"/>
        </w:rPr>
        <w:t>统计数据以平台监控系统记录为准）。</w:t>
      </w:r>
    </w:p>
    <w:p>
      <w:pPr>
        <w:pStyle w:val="null3"/>
        <w:ind w:firstLine="480"/>
        <w:jc w:val="both"/>
      </w:pPr>
      <w:r>
        <w:rPr>
          <w:sz w:val="24"/>
        </w:rPr>
        <w:t>（</w:t>
      </w:r>
      <w:r>
        <w:rPr>
          <w:sz w:val="24"/>
        </w:rPr>
        <w:t>2</w:t>
      </w:r>
      <w:r>
        <w:rPr>
          <w:sz w:val="24"/>
        </w:rPr>
        <w:t>）平台架构应支持模块化、组件化设计，关键能力可独立部署、升级或替换；应提供明确的组件边界与替换策略。</w:t>
      </w:r>
    </w:p>
    <w:p>
      <w:pPr>
        <w:pStyle w:val="null3"/>
        <w:ind w:firstLine="480"/>
        <w:jc w:val="both"/>
      </w:pPr>
      <w:r>
        <w:rPr>
          <w:sz w:val="24"/>
        </w:rPr>
        <w:t>（</w:t>
      </w:r>
      <w:r>
        <w:rPr>
          <w:sz w:val="24"/>
        </w:rPr>
        <w:t>3</w:t>
      </w:r>
      <w:r>
        <w:rPr>
          <w:sz w:val="24"/>
        </w:rPr>
        <w:t>）不得将核心运行能力依赖于不可审计、不可替换的外部平台或第三方托管服务；确需引入第三方组件的，应说明可替代方案与迁移路径。</w:t>
      </w:r>
    </w:p>
    <w:p>
      <w:pPr>
        <w:pStyle w:val="null3"/>
        <w:ind w:firstLine="480"/>
        <w:jc w:val="both"/>
      </w:pPr>
      <w:r>
        <w:rPr>
          <w:sz w:val="24"/>
        </w:rPr>
        <w:t>（</w:t>
      </w:r>
      <w:r>
        <w:rPr>
          <w:sz w:val="24"/>
        </w:rPr>
        <w:t>4</w:t>
      </w:r>
      <w:r>
        <w:rPr>
          <w:sz w:val="24"/>
        </w:rPr>
        <w:t>）平台应支持甲方对运行参数、服务调用、能力启停、灰度范围、版本回滚的自主控制。</w:t>
      </w:r>
    </w:p>
    <w:p>
      <w:pPr>
        <w:pStyle w:val="null3"/>
        <w:ind w:firstLine="480"/>
        <w:jc w:val="both"/>
      </w:pPr>
      <w:r>
        <w:rPr>
          <w:sz w:val="24"/>
        </w:rPr>
        <w:t>（</w:t>
      </w:r>
      <w:r>
        <w:rPr>
          <w:sz w:val="24"/>
        </w:rPr>
        <w:t>5</w:t>
      </w:r>
      <w:r>
        <w:rPr>
          <w:sz w:val="24"/>
        </w:rPr>
        <w:t>）核心能力模块应具备版本编号与发布管理机制，版本变更记录完整率应达到</w:t>
      </w:r>
      <w:r>
        <w:rPr>
          <w:sz w:val="24"/>
        </w:rPr>
        <w:t>100%</w:t>
      </w:r>
      <w:r>
        <w:rPr>
          <w:sz w:val="24"/>
        </w:rPr>
        <w:t>。</w:t>
      </w:r>
    </w:p>
    <w:p>
      <w:pPr>
        <w:pStyle w:val="null3"/>
        <w:ind w:firstLine="480"/>
        <w:jc w:val="both"/>
      </w:pPr>
      <w:r>
        <w:rPr>
          <w:sz w:val="24"/>
        </w:rPr>
        <w:t>3.2.2</w:t>
      </w:r>
      <w:r>
        <w:rPr>
          <w:sz w:val="24"/>
        </w:rPr>
        <w:t>运行可审计与可追溯要求</w:t>
      </w:r>
    </w:p>
    <w:p>
      <w:pPr>
        <w:pStyle w:val="null3"/>
        <w:ind w:firstLine="480"/>
        <w:jc w:val="both"/>
      </w:pPr>
      <w:r>
        <w:rPr>
          <w:sz w:val="24"/>
        </w:rPr>
        <w:t>（</w:t>
      </w:r>
      <w:r>
        <w:rPr>
          <w:sz w:val="24"/>
        </w:rPr>
        <w:t>1</w:t>
      </w:r>
      <w:r>
        <w:rPr>
          <w:sz w:val="24"/>
        </w:rPr>
        <w:t>）平台应具备统一日志管理与审计能力，至少包括运行日志、操作日志、审计日志三类，并支持集中查询与归档。</w:t>
      </w:r>
    </w:p>
    <w:p>
      <w:pPr>
        <w:pStyle w:val="null3"/>
        <w:ind w:firstLine="480"/>
        <w:jc w:val="both"/>
      </w:pPr>
      <w:r>
        <w:rPr>
          <w:sz w:val="24"/>
        </w:rPr>
        <w:t>（</w:t>
      </w:r>
      <w:r>
        <w:rPr>
          <w:sz w:val="24"/>
        </w:rPr>
        <w:t>2</w:t>
      </w:r>
      <w:r>
        <w:rPr>
          <w:sz w:val="24"/>
        </w:rPr>
        <w:t>）系统操作、服务调用、流程执行及智能服务触发过程应支持全程留痕；关键链路应具备统一追踪标识以支撑跨系统回溯。</w:t>
      </w:r>
    </w:p>
    <w:p>
      <w:pPr>
        <w:pStyle w:val="null3"/>
        <w:ind w:firstLine="480"/>
        <w:jc w:val="both"/>
      </w:pPr>
      <w:r>
        <w:rPr>
          <w:sz w:val="24"/>
        </w:rPr>
        <w:t>（</w:t>
      </w:r>
      <w:r>
        <w:rPr>
          <w:sz w:val="24"/>
        </w:rPr>
        <w:t>3</w:t>
      </w:r>
      <w:r>
        <w:rPr>
          <w:sz w:val="24"/>
        </w:rPr>
        <w:t>）运行日志应支持按时间、用户、业务类型、系统来源、流程</w:t>
      </w:r>
      <w:r>
        <w:rPr>
          <w:sz w:val="24"/>
        </w:rPr>
        <w:t>/</w:t>
      </w:r>
      <w:r>
        <w:rPr>
          <w:sz w:val="24"/>
        </w:rPr>
        <w:t>任务等维度进行查询；支持导出用于内审或监管检查。</w:t>
      </w:r>
    </w:p>
    <w:p>
      <w:pPr>
        <w:pStyle w:val="null3"/>
        <w:ind w:firstLine="480"/>
        <w:jc w:val="both"/>
      </w:pPr>
      <w:r>
        <w:rPr>
          <w:sz w:val="24"/>
        </w:rPr>
        <w:t>（</w:t>
      </w:r>
      <w:r>
        <w:rPr>
          <w:sz w:val="24"/>
        </w:rPr>
        <w:t>4</w:t>
      </w:r>
      <w:r>
        <w:rPr>
          <w:sz w:val="24"/>
        </w:rPr>
        <w:t>）关键业务操作及智能服务调用行为应具备责任主体可追溯能力；应记录操作主体、调用来源、执行时间、输入输出摘要与返回状态，形成完整的运行与审计责任链。</w:t>
      </w:r>
    </w:p>
    <w:p>
      <w:pPr>
        <w:pStyle w:val="null3"/>
        <w:ind w:firstLine="480"/>
        <w:jc w:val="both"/>
      </w:pPr>
      <w:r>
        <w:rPr>
          <w:sz w:val="24"/>
        </w:rPr>
        <w:t>（</w:t>
      </w:r>
      <w:r>
        <w:rPr>
          <w:sz w:val="24"/>
        </w:rPr>
        <w:t>5</w:t>
      </w:r>
      <w:r>
        <w:rPr>
          <w:sz w:val="24"/>
        </w:rPr>
        <w:t>）关键业务链路与高风险操作的日志记录追溯成功率应达到</w:t>
      </w:r>
      <w:r>
        <w:rPr>
          <w:sz w:val="24"/>
        </w:rPr>
        <w:t>100%</w:t>
      </w:r>
      <w:r>
        <w:rPr>
          <w:sz w:val="24"/>
        </w:rPr>
        <w:t>，不得存在关键链路缺失日志情况。日志数据保存期限不得少于</w:t>
      </w:r>
      <w:r>
        <w:rPr>
          <w:sz w:val="24"/>
        </w:rPr>
        <w:t>6</w:t>
      </w:r>
      <w:r>
        <w:rPr>
          <w:sz w:val="24"/>
        </w:rPr>
        <w:t>个月。</w:t>
      </w:r>
    </w:p>
    <w:p>
      <w:pPr>
        <w:pStyle w:val="null3"/>
        <w:ind w:firstLine="480"/>
        <w:jc w:val="both"/>
      </w:pPr>
      <w:r>
        <w:rPr>
          <w:sz w:val="24"/>
        </w:rPr>
        <w:t>3.2.3</w:t>
      </w:r>
      <w:r>
        <w:rPr>
          <w:sz w:val="24"/>
        </w:rPr>
        <w:t>智慧大脑与智能能力可控要求</w:t>
      </w:r>
    </w:p>
    <w:p>
      <w:pPr>
        <w:pStyle w:val="null3"/>
        <w:ind w:firstLine="480"/>
        <w:jc w:val="both"/>
      </w:pPr>
      <w:r>
        <w:rPr>
          <w:sz w:val="24"/>
        </w:rPr>
        <w:t>（</w:t>
      </w:r>
      <w:r>
        <w:rPr>
          <w:sz w:val="24"/>
        </w:rPr>
        <w:t>1</w:t>
      </w:r>
      <w:r>
        <w:rPr>
          <w:sz w:val="24"/>
        </w:rPr>
        <w:t>）智能模型与智能体应纳入统一管理与审计，不得以“黑盒服务”方式直接嵌入业务流程或绕开平台治理通道执行高风险动作。</w:t>
      </w:r>
    </w:p>
    <w:p>
      <w:pPr>
        <w:pStyle w:val="null3"/>
        <w:ind w:firstLine="480"/>
        <w:jc w:val="both"/>
      </w:pPr>
      <w:r>
        <w:rPr>
          <w:sz w:val="24"/>
        </w:rPr>
        <w:t>（</w:t>
      </w:r>
      <w:r>
        <w:rPr>
          <w:sz w:val="24"/>
        </w:rPr>
        <w:t>2</w:t>
      </w:r>
      <w:r>
        <w:rPr>
          <w:sz w:val="24"/>
        </w:rPr>
        <w:t>）智慧大脑系统应支持模型</w:t>
      </w:r>
      <w:r>
        <w:rPr>
          <w:sz w:val="24"/>
        </w:rPr>
        <w:t>/</w:t>
      </w:r>
      <w:r>
        <w:rPr>
          <w:sz w:val="24"/>
        </w:rPr>
        <w:t>智能体的版本管理、权限控制、运行监控与下线管理；中枢平台应提供必要的接口支撑与调用环境。</w:t>
      </w:r>
    </w:p>
    <w:p>
      <w:pPr>
        <w:pStyle w:val="null3"/>
        <w:ind w:firstLine="480"/>
        <w:jc w:val="both"/>
      </w:pPr>
      <w:r>
        <w:rPr>
          <w:sz w:val="24"/>
        </w:rPr>
        <w:t>（</w:t>
      </w:r>
      <w:r>
        <w:rPr>
          <w:sz w:val="24"/>
        </w:rPr>
        <w:t>3</w:t>
      </w:r>
      <w:r>
        <w:rPr>
          <w:sz w:val="24"/>
        </w:rPr>
        <w:t>）智能输出结果应支持人工干预、纠正或终止机制，不得形成不可控自动决策机制；涉及高风险场景应配置“人类在环</w:t>
      </w:r>
      <w:r>
        <w:rPr>
          <w:sz w:val="24"/>
        </w:rPr>
        <w:t>/</w:t>
      </w:r>
      <w:r>
        <w:rPr>
          <w:sz w:val="24"/>
        </w:rPr>
        <w:t>双人复核”等控制点（按甲方确认策略执行）。</w:t>
      </w:r>
    </w:p>
    <w:p>
      <w:pPr>
        <w:pStyle w:val="null3"/>
        <w:ind w:firstLine="480"/>
        <w:jc w:val="both"/>
      </w:pPr>
      <w:r>
        <w:rPr>
          <w:sz w:val="24"/>
        </w:rPr>
        <w:t>（</w:t>
      </w:r>
      <w:r>
        <w:rPr>
          <w:sz w:val="24"/>
        </w:rPr>
        <w:t>4</w:t>
      </w:r>
      <w:r>
        <w:rPr>
          <w:sz w:val="24"/>
        </w:rPr>
        <w:t>）模型运行状态、调用情况及效果反馈应由智慧大脑系统统一监测；中枢平台应支持对模型</w:t>
      </w:r>
      <w:r>
        <w:rPr>
          <w:sz w:val="24"/>
        </w:rPr>
        <w:t>/</w:t>
      </w:r>
      <w:r>
        <w:rPr>
          <w:sz w:val="24"/>
        </w:rPr>
        <w:t>智能体调用行为的日志记录、审计记录与运行状态采集。</w:t>
      </w:r>
    </w:p>
    <w:p>
      <w:pPr>
        <w:pStyle w:val="null3"/>
        <w:ind w:firstLine="480"/>
        <w:jc w:val="both"/>
      </w:pPr>
      <w:r>
        <w:rPr>
          <w:sz w:val="24"/>
        </w:rPr>
        <w:t>（</w:t>
      </w:r>
      <w:r>
        <w:rPr>
          <w:sz w:val="24"/>
        </w:rPr>
        <w:t>5</w:t>
      </w:r>
      <w:r>
        <w:rPr>
          <w:sz w:val="24"/>
        </w:rPr>
        <w:t>）平台核心服务调用成功率不低于</w:t>
      </w:r>
      <w:r>
        <w:rPr>
          <w:sz w:val="24"/>
        </w:rPr>
        <w:t>99%</w:t>
      </w:r>
      <w:r>
        <w:rPr>
          <w:sz w:val="24"/>
        </w:rPr>
        <w:t>。所有模型与智能体必须纳入注册中心统一管理，注册率应达到</w:t>
      </w:r>
      <w:r>
        <w:rPr>
          <w:sz w:val="24"/>
        </w:rPr>
        <w:t>100%</w:t>
      </w:r>
      <w:r>
        <w:rPr>
          <w:sz w:val="24"/>
        </w:rPr>
        <w:t>。</w:t>
      </w:r>
    </w:p>
    <w:p>
      <w:pPr>
        <w:pStyle w:val="null3"/>
        <w:ind w:firstLine="480"/>
        <w:jc w:val="both"/>
      </w:pPr>
      <w:r>
        <w:rPr>
          <w:sz w:val="24"/>
        </w:rPr>
        <w:t>3.2.4</w:t>
      </w:r>
      <w:r>
        <w:rPr>
          <w:sz w:val="24"/>
        </w:rPr>
        <w:t>本土化与开源可控技术体系要求</w:t>
      </w:r>
    </w:p>
    <w:p>
      <w:pPr>
        <w:pStyle w:val="null3"/>
        <w:ind w:firstLine="480"/>
        <w:jc w:val="both"/>
      </w:pPr>
      <w:r>
        <w:rPr>
          <w:sz w:val="24"/>
        </w:rPr>
        <w:t>（</w:t>
      </w:r>
      <w:r>
        <w:rPr>
          <w:sz w:val="24"/>
        </w:rPr>
        <w:t>1</w:t>
      </w:r>
      <w:r>
        <w:rPr>
          <w:sz w:val="24"/>
        </w:rPr>
        <w:t>）本项目中枢系统、协同平台及智慧大脑系统的技术底座，应坚持全栈可控、可替代、可持续的建设原则，构建本土化支撑体系与开源可控技术体系相结合的总体技术路线。</w:t>
      </w:r>
    </w:p>
    <w:p>
      <w:pPr>
        <w:pStyle w:val="null3"/>
        <w:ind w:firstLine="480"/>
        <w:jc w:val="both"/>
      </w:pPr>
      <w:r>
        <w:rPr>
          <w:sz w:val="24"/>
        </w:rPr>
        <w:t>（</w:t>
      </w:r>
      <w:r>
        <w:rPr>
          <w:sz w:val="24"/>
        </w:rPr>
        <w:t>2</w:t>
      </w:r>
      <w:r>
        <w:rPr>
          <w:sz w:val="24"/>
        </w:rPr>
        <w:t>）在不影响现有系统稳定运行的前提下，平台核心技术组件在操作系统、数据库、编程语言等关键基础技术层面，应优先采用本土化或开源可控技术体系。</w:t>
      </w:r>
    </w:p>
    <w:p>
      <w:pPr>
        <w:pStyle w:val="null3"/>
        <w:ind w:firstLine="480"/>
        <w:jc w:val="both"/>
      </w:pPr>
      <w:r>
        <w:rPr>
          <w:sz w:val="24"/>
        </w:rPr>
        <w:t>（</w:t>
      </w:r>
      <w:r>
        <w:rPr>
          <w:sz w:val="24"/>
        </w:rPr>
        <w:t>3</w:t>
      </w:r>
      <w:r>
        <w:rPr>
          <w:sz w:val="24"/>
        </w:rPr>
        <w:t>）技术架构设计应避免对不可审计、不可替换的封闭源代码产品或外部服务形成深度依赖，不得将中枢系统或智慧大脑的核心运行能力绑定于单一厂商专有平台。</w:t>
      </w:r>
    </w:p>
    <w:p>
      <w:pPr>
        <w:pStyle w:val="null3"/>
        <w:ind w:firstLine="480"/>
        <w:jc w:val="both"/>
      </w:pPr>
      <w:r>
        <w:rPr>
          <w:sz w:val="24"/>
        </w:rPr>
        <w:t>（</w:t>
      </w:r>
      <w:r>
        <w:rPr>
          <w:sz w:val="24"/>
        </w:rPr>
        <w:t>4</w:t>
      </w:r>
      <w:r>
        <w:rPr>
          <w:sz w:val="24"/>
        </w:rPr>
        <w:t>）对采用的开源技术组件，乙方应确保技术来源清晰、许可合规、具备持续维护与支持能力，并支持源码级审计或等效可验证机制。</w:t>
      </w:r>
    </w:p>
    <w:p>
      <w:pPr>
        <w:pStyle w:val="null3"/>
        <w:ind w:firstLine="480"/>
        <w:jc w:val="both"/>
      </w:pPr>
      <w:r>
        <w:rPr>
          <w:sz w:val="24"/>
        </w:rPr>
        <w:t>（</w:t>
      </w:r>
      <w:r>
        <w:rPr>
          <w:sz w:val="24"/>
        </w:rPr>
        <w:t>5</w:t>
      </w:r>
      <w:r>
        <w:rPr>
          <w:sz w:val="24"/>
        </w:rPr>
        <w:t>）对采用的本土化技术组件，乙方应说明部署方式、运行角色及可替代方案，确保后续运行或升级不形成路径锁定风险。</w:t>
      </w:r>
    </w:p>
    <w:p>
      <w:pPr>
        <w:pStyle w:val="null3"/>
        <w:ind w:firstLine="480"/>
        <w:jc w:val="both"/>
      </w:pPr>
      <w:r>
        <w:rPr>
          <w:sz w:val="24"/>
        </w:rPr>
        <w:t>（</w:t>
      </w:r>
      <w:r>
        <w:rPr>
          <w:sz w:val="24"/>
        </w:rPr>
        <w:t>6</w:t>
      </w:r>
      <w:r>
        <w:rPr>
          <w:sz w:val="24"/>
        </w:rPr>
        <w:t>）技术方案中应明确说明平台在源码可审计、部署可替换、版本可演进方面的设计考虑，包括关键组件替换策略、平台升级与迁移路径、与现有系统及未来扩展场景的兼容方式。</w:t>
      </w:r>
    </w:p>
    <w:p>
      <w:pPr>
        <w:pStyle w:val="null3"/>
        <w:ind w:firstLine="480"/>
        <w:jc w:val="both"/>
      </w:pPr>
      <w:r>
        <w:rPr>
          <w:sz w:val="24"/>
        </w:rPr>
        <w:t>（</w:t>
      </w:r>
      <w:r>
        <w:rPr>
          <w:sz w:val="24"/>
        </w:rPr>
        <w:t>7</w:t>
      </w:r>
      <w:r>
        <w:rPr>
          <w:sz w:val="24"/>
        </w:rPr>
        <w:t>）平台整体技术体系应保障甲方对系统架构、运行环境及技术演进路径的长期掌控能力，为智慧能力持续演进、安全运行及后续扩展提供可靠基础。</w:t>
      </w:r>
    </w:p>
    <w:p>
      <w:pPr>
        <w:pStyle w:val="null3"/>
        <w:ind w:firstLine="480"/>
        <w:jc w:val="both"/>
      </w:pPr>
      <w:r>
        <w:rPr>
          <w:sz w:val="24"/>
        </w:rPr>
        <w:t>（</w:t>
      </w:r>
      <w:r>
        <w:rPr>
          <w:sz w:val="24"/>
        </w:rPr>
        <w:t>8</w:t>
      </w:r>
      <w:r>
        <w:rPr>
          <w:sz w:val="24"/>
        </w:rPr>
        <w:t>）平台中可进行源码级审计或等效技术验证的比例不低于</w:t>
      </w:r>
      <w:r>
        <w:rPr>
          <w:sz w:val="24"/>
        </w:rPr>
        <w:t>80%</w:t>
      </w:r>
      <w:r>
        <w:rPr>
          <w:sz w:val="24"/>
        </w:rPr>
        <w:t>。（等效技术验证方式如：提供组件版本号、提供发布来源、提供官方校验哈希或提供下载来源证明等证明不存在远程强制授权或不可替代锁定机制的说明）</w:t>
      </w:r>
    </w:p>
    <w:p>
      <w:pPr>
        <w:pStyle w:val="null3"/>
        <w:ind w:firstLine="480"/>
        <w:jc w:val="both"/>
      </w:pPr>
      <w:r>
        <w:rPr>
          <w:sz w:val="24"/>
        </w:rPr>
        <w:t>3.3</w:t>
      </w:r>
      <w:r>
        <w:rPr>
          <w:sz w:val="24"/>
        </w:rPr>
        <w:t>智慧大脑与模型运行技术要求</w:t>
      </w:r>
    </w:p>
    <w:p>
      <w:pPr>
        <w:pStyle w:val="null3"/>
        <w:ind w:firstLine="480"/>
        <w:jc w:val="both"/>
      </w:pPr>
      <w:r>
        <w:rPr>
          <w:sz w:val="24"/>
        </w:rPr>
        <w:t>3.3.1</w:t>
      </w:r>
      <w:r>
        <w:rPr>
          <w:sz w:val="24"/>
        </w:rPr>
        <w:t>智慧大脑系统技术要求</w:t>
      </w:r>
    </w:p>
    <w:p>
      <w:pPr>
        <w:pStyle w:val="null3"/>
        <w:ind w:firstLine="480"/>
        <w:jc w:val="both"/>
      </w:pPr>
      <w:r>
        <w:rPr>
          <w:sz w:val="24"/>
        </w:rPr>
        <w:t>（</w:t>
      </w:r>
      <w:r>
        <w:rPr>
          <w:sz w:val="24"/>
        </w:rPr>
        <w:t>1</w:t>
      </w:r>
      <w:r>
        <w:rPr>
          <w:sz w:val="24"/>
        </w:rPr>
        <w:t>）智慧大脑系统应作为医院智能能力的统一运行与调度平台，支撑模型、智能体及相关智能服务的集中部署、统一调度与运行管理。</w:t>
      </w:r>
    </w:p>
    <w:p>
      <w:pPr>
        <w:pStyle w:val="null3"/>
        <w:ind w:firstLine="480"/>
        <w:jc w:val="both"/>
      </w:pPr>
      <w:r>
        <w:rPr>
          <w:sz w:val="24"/>
        </w:rPr>
        <w:t>（</w:t>
      </w:r>
      <w:r>
        <w:rPr>
          <w:sz w:val="24"/>
        </w:rPr>
        <w:t>2</w:t>
      </w:r>
      <w:r>
        <w:rPr>
          <w:sz w:val="24"/>
        </w:rPr>
        <w:t>）系统应支持模型注册、部署、运行、版本管理、权限控制与下线管理等功能，能够对模型及其运行实例进行统一管理。</w:t>
      </w:r>
    </w:p>
    <w:p>
      <w:pPr>
        <w:pStyle w:val="null3"/>
        <w:ind w:firstLine="480"/>
        <w:jc w:val="both"/>
      </w:pPr>
      <w:r>
        <w:rPr>
          <w:sz w:val="24"/>
        </w:rPr>
        <w:t>（</w:t>
      </w:r>
      <w:r>
        <w:rPr>
          <w:sz w:val="24"/>
        </w:rPr>
        <w:t>3</w:t>
      </w:r>
      <w:r>
        <w:rPr>
          <w:sz w:val="24"/>
        </w:rPr>
        <w:t>）智慧大脑系统应支持通过建立标准语义与合约，与可信中枢平台在数据、流程及权限层面实现协同运行，支持在中枢平台业务流程中对智能能力的受控调用。</w:t>
      </w:r>
    </w:p>
    <w:p>
      <w:pPr>
        <w:pStyle w:val="null3"/>
        <w:ind w:firstLine="480"/>
        <w:jc w:val="both"/>
      </w:pPr>
      <w:r>
        <w:rPr>
          <w:sz w:val="24"/>
        </w:rPr>
        <w:t>（</w:t>
      </w:r>
      <w:r>
        <w:rPr>
          <w:sz w:val="24"/>
        </w:rPr>
        <w:t>4</w:t>
      </w:r>
      <w:r>
        <w:rPr>
          <w:sz w:val="24"/>
        </w:rPr>
        <w:t>）智慧大脑系统应支持多模型并行运行，能够根据不同业务场景提供差异化的模型或智能能力调用服务，并支持效果反馈与持续优化闭环。</w:t>
      </w:r>
    </w:p>
    <w:p>
      <w:pPr>
        <w:pStyle w:val="null3"/>
        <w:ind w:firstLine="480"/>
        <w:jc w:val="both"/>
      </w:pPr>
      <w:r>
        <w:rPr>
          <w:sz w:val="24"/>
        </w:rPr>
        <w:t>（</w:t>
      </w:r>
      <w:r>
        <w:rPr>
          <w:sz w:val="24"/>
        </w:rPr>
        <w:t>5</w:t>
      </w:r>
      <w:r>
        <w:rPr>
          <w:sz w:val="24"/>
        </w:rPr>
        <w:t>）平台运行阶段整体可用性不低于</w:t>
      </w:r>
      <w:r>
        <w:rPr>
          <w:sz w:val="24"/>
        </w:rPr>
        <w:t>99.5%</w:t>
      </w:r>
      <w:r>
        <w:rPr>
          <w:sz w:val="24"/>
        </w:rPr>
        <w:t>。</w:t>
      </w:r>
    </w:p>
    <w:p>
      <w:pPr>
        <w:pStyle w:val="null3"/>
        <w:ind w:firstLine="480"/>
        <w:jc w:val="both"/>
      </w:pPr>
      <w:r>
        <w:rPr>
          <w:sz w:val="24"/>
        </w:rPr>
        <w:t>3.3.2</w:t>
      </w:r>
      <w:r>
        <w:rPr>
          <w:sz w:val="24"/>
        </w:rPr>
        <w:t>模型在地运行与数据合规要求</w:t>
      </w:r>
    </w:p>
    <w:p>
      <w:pPr>
        <w:pStyle w:val="null3"/>
        <w:ind w:firstLine="480"/>
        <w:jc w:val="both"/>
      </w:pPr>
      <w:r>
        <w:rPr>
          <w:sz w:val="24"/>
        </w:rPr>
        <w:t>（</w:t>
      </w:r>
      <w:r>
        <w:rPr>
          <w:sz w:val="24"/>
        </w:rPr>
        <w:t>1</w:t>
      </w:r>
      <w:r>
        <w:rPr>
          <w:sz w:val="24"/>
        </w:rPr>
        <w:t>）模型训练与推理运行应基于甲方指定的院内数据与算力环境，不得擅自将数据外传或用于本项目以外的任何用途。</w:t>
      </w:r>
    </w:p>
    <w:p>
      <w:pPr>
        <w:pStyle w:val="null3"/>
        <w:ind w:firstLine="480"/>
        <w:jc w:val="both"/>
      </w:pPr>
      <w:r>
        <w:rPr>
          <w:sz w:val="24"/>
        </w:rPr>
        <w:t>（</w:t>
      </w:r>
      <w:r>
        <w:rPr>
          <w:sz w:val="24"/>
        </w:rPr>
        <w:t>2</w:t>
      </w:r>
      <w:r>
        <w:rPr>
          <w:sz w:val="24"/>
        </w:rPr>
        <w:t>）模型运行过程中涉及的数据，应符合国家及行业关于医疗数据安全、隐私保护的相关规定；数据使用范围、处理方式及责任边界应具备明确说明。</w:t>
      </w:r>
    </w:p>
    <w:p>
      <w:pPr>
        <w:pStyle w:val="null3"/>
        <w:ind w:firstLine="480"/>
        <w:jc w:val="both"/>
      </w:pPr>
      <w:r>
        <w:rPr>
          <w:sz w:val="24"/>
        </w:rPr>
        <w:t>（</w:t>
      </w:r>
      <w:r>
        <w:rPr>
          <w:sz w:val="24"/>
        </w:rPr>
        <w:t>3</w:t>
      </w:r>
      <w:r>
        <w:rPr>
          <w:sz w:val="24"/>
        </w:rPr>
        <w:t>）模型训练、评测、推理及运行过程应支持形成必要的运行记录，为模型运行管理、合规审查与问题追溯提供依据。</w:t>
      </w:r>
    </w:p>
    <w:p>
      <w:pPr>
        <w:pStyle w:val="null3"/>
        <w:ind w:firstLine="480"/>
        <w:jc w:val="both"/>
      </w:pPr>
      <w:r>
        <w:rPr>
          <w:sz w:val="24"/>
        </w:rPr>
        <w:t>（</w:t>
      </w:r>
      <w:r>
        <w:rPr>
          <w:sz w:val="24"/>
        </w:rPr>
        <w:t>4</w:t>
      </w:r>
      <w:r>
        <w:rPr>
          <w:sz w:val="24"/>
        </w:rPr>
        <w:t>）模型发布应具备上线门禁、灰度发布与回滚机制；重大模型变更应经甲方评审通过后实施。</w:t>
      </w:r>
    </w:p>
    <w:p>
      <w:pPr>
        <w:pStyle w:val="null3"/>
        <w:ind w:firstLine="480"/>
        <w:jc w:val="both"/>
      </w:pPr>
      <w:r>
        <w:rPr>
          <w:sz w:val="24"/>
        </w:rPr>
        <w:t>（</w:t>
      </w:r>
      <w:r>
        <w:rPr>
          <w:sz w:val="24"/>
        </w:rPr>
        <w:t>5</w:t>
      </w:r>
      <w:r>
        <w:rPr>
          <w:sz w:val="24"/>
        </w:rPr>
        <w:t>）模型训练与推理数据来源可追溯率应达到</w:t>
      </w:r>
      <w:r>
        <w:rPr>
          <w:sz w:val="24"/>
        </w:rPr>
        <w:t>100%</w:t>
      </w:r>
      <w:r>
        <w:rPr>
          <w:sz w:val="24"/>
        </w:rPr>
        <w:t>。</w:t>
      </w:r>
    </w:p>
    <w:p>
      <w:pPr>
        <w:pStyle w:val="null3"/>
        <w:ind w:firstLine="480"/>
        <w:jc w:val="both"/>
      </w:pPr>
      <w:r>
        <w:rPr>
          <w:sz w:val="24"/>
        </w:rPr>
        <w:t>3.4</w:t>
      </w:r>
      <w:r>
        <w:rPr>
          <w:sz w:val="24"/>
        </w:rPr>
        <w:t>面向智慧医工协同的数据治理与数据能力技术要求</w:t>
      </w:r>
      <w:r>
        <w:rPr/>
        <w:t xml:space="preserve"> </w:t>
      </w:r>
    </w:p>
    <w:p>
      <w:pPr>
        <w:pStyle w:val="null3"/>
        <w:ind w:firstLine="480"/>
        <w:jc w:val="both"/>
      </w:pPr>
      <w:r>
        <w:rPr>
          <w:sz w:val="24"/>
        </w:rPr>
        <w:t>3.4.1</w:t>
      </w:r>
      <w:r>
        <w:rPr>
          <w:sz w:val="24"/>
        </w:rPr>
        <w:t>面向智慧医工协同的数据治理与数据能力要求</w:t>
      </w:r>
      <w:r>
        <w:rPr/>
        <w:t xml:space="preserve"> </w:t>
      </w:r>
    </w:p>
    <w:p>
      <w:pPr>
        <w:pStyle w:val="null3"/>
        <w:ind w:firstLine="480"/>
        <w:jc w:val="both"/>
      </w:pPr>
      <w:r>
        <w:rPr>
          <w:sz w:val="24"/>
        </w:rPr>
        <w:t>（</w:t>
      </w:r>
      <w:r>
        <w:rPr>
          <w:sz w:val="24"/>
        </w:rPr>
        <w:t>1</w:t>
      </w:r>
      <w:r>
        <w:rPr>
          <w:sz w:val="24"/>
        </w:rPr>
        <w:t>）乙方应协助甲方建立统一的数据标准、指标口径与主数据管理体系，确保数据语义一致、口径统一，并形成可维护、可演进的治理机制。</w:t>
      </w:r>
    </w:p>
    <w:p>
      <w:pPr>
        <w:pStyle w:val="null3"/>
        <w:ind w:firstLine="480"/>
        <w:jc w:val="both"/>
      </w:pPr>
      <w:r>
        <w:rPr>
          <w:sz w:val="24"/>
        </w:rPr>
        <w:t>（</w:t>
      </w:r>
      <w:r>
        <w:rPr>
          <w:sz w:val="24"/>
        </w:rPr>
        <w:t>2</w:t>
      </w:r>
      <w:r>
        <w:rPr>
          <w:sz w:val="24"/>
        </w:rPr>
        <w:t>）数据治理服务应覆盖数据接入、清洗、质量控制、服务化输出等全过程；治理成果应以数据服务、指标服务等形式封装，支撑中枢平台与智慧大脑的稳定调用。</w:t>
      </w:r>
    </w:p>
    <w:p>
      <w:pPr>
        <w:pStyle w:val="null3"/>
        <w:ind w:firstLine="480"/>
        <w:jc w:val="both"/>
      </w:pPr>
      <w:r>
        <w:rPr>
          <w:sz w:val="24"/>
        </w:rPr>
        <w:t>（</w:t>
      </w:r>
      <w:r>
        <w:rPr>
          <w:sz w:val="24"/>
        </w:rPr>
        <w:t>3</w:t>
      </w:r>
      <w:r>
        <w:rPr>
          <w:sz w:val="24"/>
        </w:rPr>
        <w:t>）应支持依托数据治理成果构建可复用的标准化训练</w:t>
      </w:r>
      <w:r>
        <w:rPr>
          <w:sz w:val="24"/>
        </w:rPr>
        <w:t>/</w:t>
      </w:r>
      <w:r>
        <w:rPr>
          <w:sz w:val="24"/>
        </w:rPr>
        <w:t>评测数据集，提供版本管理、使用记录与更新维护机制，满足模型工程化交付对数据可控性的要求。</w:t>
      </w:r>
    </w:p>
    <w:p>
      <w:pPr>
        <w:pStyle w:val="null3"/>
        <w:ind w:firstLine="480"/>
        <w:jc w:val="both"/>
      </w:pPr>
      <w:r>
        <w:rPr>
          <w:sz w:val="24"/>
        </w:rPr>
        <w:t>（</w:t>
      </w:r>
      <w:r>
        <w:rPr>
          <w:sz w:val="24"/>
        </w:rPr>
        <w:t>4</w:t>
      </w:r>
      <w:r>
        <w:rPr>
          <w:sz w:val="24"/>
        </w:rPr>
        <w:t>）数据能力建设应与甲方既有数据底座协同落地，不以新增基础设施为前提；应提供适配说明、运行监控与质量追溯机制。</w:t>
      </w:r>
    </w:p>
    <w:p>
      <w:pPr>
        <w:pStyle w:val="null3"/>
        <w:ind w:firstLine="480"/>
        <w:jc w:val="both"/>
      </w:pPr>
      <w:r>
        <w:rPr>
          <w:sz w:val="24"/>
        </w:rPr>
        <w:t>（</w:t>
      </w:r>
      <w:r>
        <w:rPr>
          <w:sz w:val="24"/>
        </w:rPr>
        <w:t>5</w:t>
      </w:r>
      <w:r>
        <w:rPr>
          <w:sz w:val="24"/>
        </w:rPr>
        <w:t>）面向智慧大脑与智能体能力调用的数据访问与业务操作，应通过统一的数据能力服务或平台工具接口实现，不得由模型直接访问业务系统数据库或执行未经治理的系统操作。应对相关能力调用建立统一的权限控制、调用记录，确保智能服务的行为可追溯、可限制、可管理。数据能力服务或工具接口服务调用成功率不低于</w:t>
      </w:r>
      <w:r>
        <w:rPr>
          <w:sz w:val="24"/>
        </w:rPr>
        <w:t>99%</w:t>
      </w:r>
      <w:r>
        <w:rPr>
          <w:sz w:val="24"/>
        </w:rPr>
        <w:t>。</w:t>
      </w:r>
    </w:p>
    <w:p>
      <w:pPr>
        <w:pStyle w:val="null3"/>
        <w:ind w:firstLine="480"/>
        <w:jc w:val="both"/>
      </w:pPr>
      <w:r>
        <w:rPr>
          <w:sz w:val="24"/>
        </w:rPr>
        <w:t>3.4.2</w:t>
      </w:r>
      <w:r>
        <w:rPr>
          <w:sz w:val="24"/>
        </w:rPr>
        <w:t>数据能力使用安全与访问控制要求</w:t>
      </w:r>
      <w:r>
        <w:rPr/>
        <w:t xml:space="preserve"> </w:t>
      </w:r>
    </w:p>
    <w:p>
      <w:pPr>
        <w:pStyle w:val="null3"/>
        <w:ind w:firstLine="480"/>
        <w:jc w:val="both"/>
      </w:pPr>
      <w:r>
        <w:rPr>
          <w:sz w:val="24"/>
        </w:rPr>
        <w:t>（</w:t>
      </w:r>
      <w:r>
        <w:rPr>
          <w:sz w:val="24"/>
        </w:rPr>
        <w:t>1</w:t>
      </w:r>
      <w:r>
        <w:rPr>
          <w:sz w:val="24"/>
        </w:rPr>
        <w:t>）平台应支持基于角色与业务场景的数据能力访问控制机制，对数据服务、指标服务及训练数据集的使用权限进行统一管理，确保数据使用符合最小授权原则。</w:t>
      </w:r>
    </w:p>
    <w:p>
      <w:pPr>
        <w:pStyle w:val="null3"/>
        <w:ind w:firstLine="480"/>
        <w:jc w:val="both"/>
      </w:pPr>
      <w:r>
        <w:rPr>
          <w:sz w:val="24"/>
        </w:rPr>
        <w:t>（</w:t>
      </w:r>
      <w:r>
        <w:rPr>
          <w:sz w:val="24"/>
        </w:rPr>
        <w:t>2</w:t>
      </w:r>
      <w:r>
        <w:rPr>
          <w:sz w:val="24"/>
        </w:rPr>
        <w:t>）数据能力在业务流程运行、智能服务调用及模型训练过程中的使用行为，应支持完整的运行日志记录与审计，用于运行管理、问题定位与合规审查。</w:t>
      </w:r>
    </w:p>
    <w:p>
      <w:pPr>
        <w:pStyle w:val="null3"/>
        <w:ind w:firstLine="480"/>
        <w:jc w:val="both"/>
      </w:pPr>
      <w:r>
        <w:rPr>
          <w:sz w:val="24"/>
        </w:rPr>
        <w:t>（</w:t>
      </w:r>
      <w:r>
        <w:rPr>
          <w:sz w:val="24"/>
        </w:rPr>
        <w:t>3</w:t>
      </w:r>
      <w:r>
        <w:rPr>
          <w:sz w:val="24"/>
        </w:rPr>
        <w:t>）平台应支持对异常数据调用、异常数据使用或异常训练行为进行识别与告警，保障数据能力在智慧医工协同与智能服务运行过程中的安全性与可控性。</w:t>
      </w:r>
    </w:p>
    <w:p>
      <w:pPr>
        <w:pStyle w:val="null3"/>
        <w:ind w:firstLine="480"/>
        <w:jc w:val="both"/>
      </w:pPr>
      <w:r>
        <w:rPr>
          <w:sz w:val="24"/>
        </w:rPr>
        <w:t>3.5</w:t>
      </w:r>
      <w:r>
        <w:rPr>
          <w:sz w:val="24"/>
        </w:rPr>
        <w:t>业务流程与智能服务嵌入技术要求</w:t>
      </w:r>
    </w:p>
    <w:p>
      <w:pPr>
        <w:pStyle w:val="null3"/>
        <w:ind w:firstLine="480"/>
        <w:jc w:val="both"/>
      </w:pPr>
      <w:r>
        <w:rPr>
          <w:sz w:val="24"/>
        </w:rPr>
        <w:t>3.5.1</w:t>
      </w:r>
      <w:r>
        <w:rPr>
          <w:sz w:val="24"/>
        </w:rPr>
        <w:t>技术方案应支持将智能服务以标准化方式嵌入医院既有业务流程，实现业务流程运行与智能能力调用的协同。</w:t>
      </w:r>
    </w:p>
    <w:p>
      <w:pPr>
        <w:pStyle w:val="null3"/>
        <w:ind w:firstLine="480"/>
        <w:jc w:val="both"/>
      </w:pPr>
      <w:r>
        <w:rPr>
          <w:sz w:val="24"/>
        </w:rPr>
        <w:t>3.5.2</w:t>
      </w:r>
      <w:r>
        <w:rPr>
          <w:sz w:val="24"/>
        </w:rPr>
        <w:t>业务流程应支持可配置管理方式，具备可视化管理与参数化调整能力，以适应业务场景逐步优化与管理能力提升要求。</w:t>
      </w:r>
    </w:p>
    <w:p>
      <w:pPr>
        <w:pStyle w:val="null3"/>
        <w:ind w:firstLine="480"/>
        <w:jc w:val="both"/>
      </w:pPr>
      <w:r>
        <w:rPr>
          <w:sz w:val="24"/>
        </w:rPr>
        <w:t>3.5.3</w:t>
      </w:r>
      <w:r>
        <w:rPr>
          <w:sz w:val="24"/>
        </w:rPr>
        <w:t>流程运行状态应支持实时监控，能够对流程执行、智能服务调用及异常情况进行识别与处理，保障业务流程的连续性与稳定性。</w:t>
      </w:r>
    </w:p>
    <w:p>
      <w:pPr>
        <w:pStyle w:val="null3"/>
        <w:ind w:firstLine="480"/>
        <w:jc w:val="both"/>
      </w:pPr>
      <w:r>
        <w:rPr>
          <w:sz w:val="24"/>
        </w:rPr>
        <w:t>3.5.4</w:t>
      </w:r>
      <w:r>
        <w:rPr>
          <w:sz w:val="24"/>
        </w:rPr>
        <w:t>智能服务应以辅助决策和能力支撑方式嵌入业务流程，不得替代医疗业务人员的法定职责或破坏原有业务责任边界；智能输出应支持人工确认或干预。</w:t>
      </w:r>
    </w:p>
    <w:p>
      <w:pPr>
        <w:pStyle w:val="null3"/>
        <w:ind w:firstLine="480"/>
        <w:jc w:val="both"/>
      </w:pPr>
      <w:r>
        <w:rPr>
          <w:sz w:val="24"/>
        </w:rPr>
        <w:t>3.6</w:t>
      </w:r>
      <w:r>
        <w:rPr>
          <w:sz w:val="24"/>
        </w:rPr>
        <w:t>系统架构与技术路线要求</w:t>
      </w:r>
    </w:p>
    <w:p>
      <w:pPr>
        <w:pStyle w:val="null3"/>
        <w:ind w:firstLine="480"/>
        <w:jc w:val="both"/>
      </w:pPr>
      <w:r>
        <w:rPr>
          <w:sz w:val="24"/>
        </w:rPr>
        <w:t>3.6.1</w:t>
      </w:r>
      <w:r>
        <w:rPr>
          <w:sz w:val="24"/>
        </w:rPr>
        <w:t>系统总体架构应符合平台化、服务化与模块化设计理念，支撑可信中枢平台、智慧大脑系统及相关能力的协同运行。</w:t>
      </w:r>
    </w:p>
    <w:p>
      <w:pPr>
        <w:pStyle w:val="null3"/>
        <w:ind w:firstLine="480"/>
        <w:jc w:val="both"/>
      </w:pPr>
      <w:r>
        <w:rPr>
          <w:sz w:val="24"/>
        </w:rPr>
        <w:t>3.6.2</w:t>
      </w:r>
      <w:r>
        <w:rPr>
          <w:sz w:val="24"/>
        </w:rPr>
        <w:t>技术架构应具备良好的扩展性与弹性，能够支持后续业务场景拓展、模型能力演进及智能服务规模化部署。</w:t>
      </w:r>
    </w:p>
    <w:p>
      <w:pPr>
        <w:pStyle w:val="null3"/>
        <w:ind w:firstLine="480"/>
        <w:jc w:val="both"/>
      </w:pPr>
      <w:r>
        <w:rPr>
          <w:sz w:val="24"/>
        </w:rPr>
        <w:t>3.6.3</w:t>
      </w:r>
      <w:r>
        <w:rPr>
          <w:sz w:val="24"/>
        </w:rPr>
        <w:t>技术方案应明确关键技术组件的选型原则，说明核心组件在部署、升级和替换方面的可行性，避免形成不可替代的技术路径依赖。</w:t>
      </w:r>
    </w:p>
    <w:p>
      <w:pPr>
        <w:pStyle w:val="null3"/>
        <w:ind w:firstLine="480"/>
        <w:jc w:val="both"/>
      </w:pPr>
      <w:r>
        <w:rPr>
          <w:sz w:val="24"/>
        </w:rPr>
        <w:t>3.6.4</w:t>
      </w:r>
      <w:r>
        <w:rPr>
          <w:sz w:val="24"/>
        </w:rPr>
        <w:t>鼓励采用成熟、稳定且具备持续演进能力的技术路线，合理使用本土化或开源可控技术体系，避免对单一厂商专有技术形成深度依赖。</w:t>
      </w:r>
    </w:p>
    <w:p>
      <w:pPr>
        <w:pStyle w:val="null3"/>
        <w:ind w:firstLine="480"/>
        <w:jc w:val="both"/>
      </w:pPr>
      <w:r>
        <w:rPr>
          <w:sz w:val="24"/>
        </w:rPr>
        <w:t>3.7</w:t>
      </w:r>
      <w:r>
        <w:rPr>
          <w:sz w:val="24"/>
        </w:rPr>
        <w:t>项目管理与实施管理要求</w:t>
      </w:r>
    </w:p>
    <w:p>
      <w:pPr>
        <w:pStyle w:val="null3"/>
        <w:ind w:firstLine="480"/>
        <w:jc w:val="both"/>
      </w:pPr>
      <w:r>
        <w:rPr>
          <w:sz w:val="24"/>
        </w:rPr>
        <w:t>3.7.1</w:t>
      </w:r>
      <w:r>
        <w:rPr>
          <w:sz w:val="24"/>
        </w:rPr>
        <w:t>项目管理机制要求</w:t>
      </w:r>
    </w:p>
    <w:p>
      <w:pPr>
        <w:pStyle w:val="null3"/>
        <w:ind w:firstLine="480"/>
        <w:jc w:val="both"/>
      </w:pPr>
      <w:r>
        <w:rPr>
          <w:sz w:val="24"/>
        </w:rPr>
        <w:t>（</w:t>
      </w:r>
      <w:r>
        <w:rPr>
          <w:sz w:val="24"/>
        </w:rPr>
        <w:t>1</w:t>
      </w:r>
      <w:r>
        <w:rPr>
          <w:sz w:val="24"/>
        </w:rPr>
        <w:t>）乙方应建立覆盖项目启动、实施、交付及运行支撑阶段的完整项目管理机制，确保项目实施过程可控、有序。</w:t>
      </w:r>
    </w:p>
    <w:p>
      <w:pPr>
        <w:pStyle w:val="null3"/>
        <w:ind w:firstLine="480"/>
        <w:jc w:val="both"/>
      </w:pPr>
      <w:r>
        <w:rPr>
          <w:sz w:val="24"/>
        </w:rPr>
        <w:t>（</w:t>
      </w:r>
      <w:r>
        <w:rPr>
          <w:sz w:val="24"/>
        </w:rPr>
        <w:t>2</w:t>
      </w:r>
      <w:r>
        <w:rPr>
          <w:sz w:val="24"/>
        </w:rPr>
        <w:t>）应明确项目负责人及实施团队成员，建立清晰的职责分工与沟通渠道。</w:t>
      </w:r>
    </w:p>
    <w:p>
      <w:pPr>
        <w:pStyle w:val="null3"/>
        <w:ind w:firstLine="480"/>
        <w:jc w:val="both"/>
      </w:pPr>
      <w:r>
        <w:rPr>
          <w:sz w:val="24"/>
        </w:rPr>
        <w:t>（</w:t>
      </w:r>
      <w:r>
        <w:rPr>
          <w:sz w:val="24"/>
        </w:rPr>
        <w:t>3</w:t>
      </w:r>
      <w:r>
        <w:rPr>
          <w:sz w:val="24"/>
        </w:rPr>
        <w:t>）项目实施应设置明确的阶段目标与里程碑节点，并形成相应的实施计划与成果交付安排。</w:t>
      </w:r>
    </w:p>
    <w:p>
      <w:pPr>
        <w:pStyle w:val="null3"/>
        <w:ind w:firstLine="480"/>
        <w:jc w:val="both"/>
      </w:pPr>
      <w:r>
        <w:rPr>
          <w:sz w:val="24"/>
        </w:rPr>
        <w:t>（</w:t>
      </w:r>
      <w:r>
        <w:rPr>
          <w:sz w:val="24"/>
        </w:rPr>
        <w:t>4</w:t>
      </w:r>
      <w:r>
        <w:rPr>
          <w:sz w:val="24"/>
        </w:rPr>
        <w:t>）项目实施过程中，应支持定期进展汇报、阶段评审及必要的实施调整，确保项目目标按期实现。</w:t>
      </w:r>
    </w:p>
    <w:p>
      <w:pPr>
        <w:pStyle w:val="null3"/>
        <w:ind w:firstLine="480"/>
        <w:jc w:val="both"/>
      </w:pPr>
      <w:r>
        <w:rPr>
          <w:sz w:val="24"/>
        </w:rPr>
        <w:t>3.7.2</w:t>
      </w:r>
      <w:r>
        <w:rPr>
          <w:sz w:val="24"/>
        </w:rPr>
        <w:t>医工协同与沟通机制要求</w:t>
      </w:r>
    </w:p>
    <w:p>
      <w:pPr>
        <w:pStyle w:val="null3"/>
        <w:ind w:firstLine="480"/>
        <w:jc w:val="both"/>
      </w:pPr>
      <w:r>
        <w:rPr>
          <w:sz w:val="24"/>
        </w:rPr>
        <w:t>（</w:t>
      </w:r>
      <w:r>
        <w:rPr>
          <w:sz w:val="24"/>
        </w:rPr>
        <w:t>1</w:t>
      </w:r>
      <w:r>
        <w:rPr>
          <w:sz w:val="24"/>
        </w:rPr>
        <w:t>）乙方应配合甲方建立常态化的医工协同工作机制，保障技术方案与医疗业务实际需求的有效衔接。</w:t>
      </w:r>
    </w:p>
    <w:p>
      <w:pPr>
        <w:pStyle w:val="null3"/>
        <w:ind w:firstLine="480"/>
        <w:jc w:val="both"/>
      </w:pPr>
      <w:r>
        <w:rPr>
          <w:sz w:val="24"/>
        </w:rPr>
        <w:t>（</w:t>
      </w:r>
      <w:r>
        <w:rPr>
          <w:sz w:val="24"/>
        </w:rPr>
        <w:t>2</w:t>
      </w:r>
      <w:r>
        <w:rPr>
          <w:sz w:val="24"/>
        </w:rPr>
        <w:t>）项目实施过程中，应确保医疗业务人员在需求确认、方案评审、试运行及优化调整等关键环节中的参与。</w:t>
      </w:r>
    </w:p>
    <w:p>
      <w:pPr>
        <w:pStyle w:val="null3"/>
        <w:ind w:firstLine="480"/>
        <w:jc w:val="both"/>
      </w:pPr>
      <w:r>
        <w:rPr>
          <w:sz w:val="24"/>
        </w:rPr>
        <w:t>（</w:t>
      </w:r>
      <w:r>
        <w:rPr>
          <w:sz w:val="24"/>
        </w:rPr>
        <w:t>3</w:t>
      </w:r>
      <w:r>
        <w:rPr>
          <w:sz w:val="24"/>
        </w:rPr>
        <w:t>）涉及技术方案、功能配置或实施路径调整的内容，应经甲方确认后实施。</w:t>
      </w:r>
    </w:p>
    <w:p>
      <w:pPr>
        <w:pStyle w:val="null3"/>
        <w:ind w:firstLine="480"/>
        <w:jc w:val="both"/>
      </w:pPr>
      <w:r>
        <w:rPr>
          <w:sz w:val="24"/>
        </w:rPr>
        <w:t>（</w:t>
      </w:r>
      <w:r>
        <w:rPr>
          <w:sz w:val="24"/>
        </w:rPr>
        <w:t>4</w:t>
      </w:r>
      <w:r>
        <w:rPr>
          <w:sz w:val="24"/>
        </w:rPr>
        <w:t>）项目实施应形成清晰的需求确认、变更管理、反馈与闭环优化机制，支撑智慧医工协同能力的持续完善。</w:t>
      </w:r>
    </w:p>
    <w:p>
      <w:pPr>
        <w:pStyle w:val="null3"/>
        <w:ind w:firstLine="480"/>
        <w:jc w:val="both"/>
      </w:pPr>
      <w:r>
        <w:rPr>
          <w:sz w:val="24"/>
        </w:rPr>
        <w:t xml:space="preserve">3.7.3 </w:t>
      </w:r>
      <w:r>
        <w:rPr>
          <w:sz w:val="24"/>
        </w:rPr>
        <w:t>项目人员要求</w:t>
      </w:r>
    </w:p>
    <w:p>
      <w:pPr>
        <w:pStyle w:val="null3"/>
        <w:ind w:firstLine="480"/>
        <w:jc w:val="both"/>
      </w:pPr>
      <w:r>
        <w:rPr>
          <w:sz w:val="24"/>
        </w:rPr>
        <w:t>为保障项目顺利实施，乙方应针对此项目组建稳定的项目团队，团队成员应具备相应的信息化建设或软件项目实施经验，并在项目实施周期内保持相对稳定。项目实施团队至少应包括项目负责人、技术负责人及相关技术人员。</w:t>
      </w:r>
    </w:p>
    <w:p>
      <w:pPr>
        <w:pStyle w:val="null3"/>
        <w:ind w:firstLine="480"/>
        <w:jc w:val="both"/>
      </w:pPr>
      <w:r>
        <w:rPr>
          <w:sz w:val="24"/>
        </w:rPr>
        <w:t>（</w:t>
      </w:r>
      <w:r>
        <w:rPr>
          <w:sz w:val="24"/>
        </w:rPr>
        <w:t>1</w:t>
      </w:r>
      <w:r>
        <w:rPr>
          <w:sz w:val="24"/>
        </w:rPr>
        <w:t xml:space="preserve">）项目负责人（项目经理）：中标供应商应指定 </w:t>
      </w:r>
      <w:r>
        <w:rPr>
          <w:sz w:val="24"/>
        </w:rPr>
        <w:t xml:space="preserve">1 </w:t>
      </w:r>
      <w:r>
        <w:rPr>
          <w:sz w:val="24"/>
        </w:rPr>
        <w:t>名项目负责人全面负责项目组织、实施管理与沟通协调工作。项目负责人应具备信息系统项目管理、信息系统运维管理等能力，具备信息化或软件类项目管理经验，熟悉信息系统建设实施流程，并能够统筹协调技术团队与业务部门推进项目实施。</w:t>
      </w:r>
    </w:p>
    <w:p>
      <w:pPr>
        <w:pStyle w:val="null3"/>
        <w:ind w:firstLine="480"/>
        <w:jc w:val="both"/>
      </w:pPr>
      <w:r>
        <w:rPr>
          <w:sz w:val="24"/>
        </w:rPr>
        <w:t>（</w:t>
      </w:r>
      <w:r>
        <w:rPr>
          <w:sz w:val="24"/>
        </w:rPr>
        <w:t>2</w:t>
      </w:r>
      <w:r>
        <w:rPr>
          <w:sz w:val="24"/>
        </w:rPr>
        <w:t xml:space="preserve">）技术负责人：中标供应商应指定 </w:t>
      </w:r>
      <w:r>
        <w:rPr>
          <w:sz w:val="24"/>
        </w:rPr>
        <w:t xml:space="preserve">1 </w:t>
      </w:r>
      <w:r>
        <w:rPr>
          <w:sz w:val="24"/>
        </w:rPr>
        <w:t>名技术负责人负责平台总体技术方案实施、系统架构把控及关键技术问题处理。技术负责人应具备信息系统项目管理、程序设计等能力，具备信息系统项目实施或软件系统架构设计相关经验，能够指导技术团队完成系统建设与技术落地。</w:t>
      </w:r>
    </w:p>
    <w:p>
      <w:pPr>
        <w:pStyle w:val="null3"/>
        <w:ind w:firstLine="480"/>
        <w:jc w:val="both"/>
      </w:pPr>
      <w:r>
        <w:rPr>
          <w:sz w:val="24"/>
        </w:rPr>
        <w:t>（</w:t>
      </w:r>
      <w:r>
        <w:rPr>
          <w:sz w:val="24"/>
        </w:rPr>
        <w:t>3</w:t>
      </w:r>
      <w:r>
        <w:rPr>
          <w:sz w:val="24"/>
        </w:rPr>
        <w:t>）项目相关技术人员：项目实施团队至少应配备</w:t>
      </w:r>
      <w:r>
        <w:rPr>
          <w:sz w:val="24"/>
        </w:rPr>
        <w:t>3</w:t>
      </w:r>
      <w:r>
        <w:rPr>
          <w:sz w:val="24"/>
        </w:rPr>
        <w:t>名具有相应的软件研发与测试、数据处理或智能技术的工作人员，负责系统开发、部署实施、运行支撑及系统运维等工作。相关技术人员应具备系统架构设计、软件设计、软件开发、网络信息安全、软件测试、人工智能应用等能力，并能够满足项目实施周期内的工作需求。</w:t>
      </w:r>
    </w:p>
    <w:p>
      <w:pPr>
        <w:pStyle w:val="null3"/>
        <w:ind w:firstLine="480"/>
        <w:jc w:val="both"/>
      </w:pPr>
      <w:r>
        <w:rPr>
          <w:sz w:val="24"/>
        </w:rPr>
        <w:t>（</w:t>
      </w:r>
      <w:r>
        <w:rPr>
          <w:sz w:val="24"/>
        </w:rPr>
        <w:t>4</w:t>
      </w:r>
      <w:r>
        <w:rPr>
          <w:sz w:val="24"/>
        </w:rPr>
        <w:t>）人员稳定性要求：项目实施期间，项目负责人及实施团队成员（技术负责人及相关技术人员）原则上不得随意更换。如因特殊情况确需调整，应提前向甲方说明情况并经甲方同意后方可更换，且替换人员的能力水平不得低于原人员。</w:t>
      </w:r>
    </w:p>
    <w:p>
      <w:pPr>
        <w:pStyle w:val="null3"/>
        <w:ind w:firstLine="480"/>
        <w:jc w:val="both"/>
      </w:pPr>
      <w:r>
        <w:rPr>
          <w:sz w:val="24"/>
        </w:rPr>
        <w:t>（</w:t>
      </w:r>
      <w:r>
        <w:rPr>
          <w:sz w:val="24"/>
        </w:rPr>
        <w:t>5</w:t>
      </w:r>
      <w:r>
        <w:rPr>
          <w:sz w:val="24"/>
        </w:rPr>
        <w:t>）团队协同要求：项目实施团队应配合甲方建立医工协同工作机制，能够及时响应项目实施过程中的需求确认、技术讨论及问题处理工作。</w:t>
      </w:r>
    </w:p>
    <w:p>
      <w:pPr>
        <w:pStyle w:val="null3"/>
        <w:ind w:firstLine="480"/>
        <w:jc w:val="both"/>
      </w:pPr>
      <w:r>
        <w:rPr>
          <w:sz w:val="24"/>
        </w:rPr>
        <w:t>（</w:t>
      </w:r>
      <w:r>
        <w:rPr>
          <w:sz w:val="24"/>
        </w:rPr>
        <w:t>6</w:t>
      </w:r>
      <w:r>
        <w:rPr>
          <w:sz w:val="24"/>
        </w:rPr>
        <w:t>）项目团队人员不可兼任，必须按照中标的投标文件中的拟投入人员的人数结合甲方和项目实际需求进行驻场投入项目的实施，项目组成员应具备中标的投标文件中对应资质，如因成员能力不足，导致项目实施延期或不能达到本合同项目的要求，乙方应自违约之日起每日按合同总额的</w:t>
      </w:r>
      <w:r>
        <w:rPr>
          <w:sz w:val="24"/>
        </w:rPr>
        <w:t>3</w:t>
      </w:r>
      <w:r>
        <w:rPr>
          <w:sz w:val="24"/>
        </w:rPr>
        <w:t>‰比例向甲方支付违约金；项目延期或不能达到本合同项目的要求超过</w:t>
      </w:r>
      <w:r>
        <w:rPr>
          <w:sz w:val="24"/>
        </w:rPr>
        <w:t>15</w:t>
      </w:r>
      <w:r>
        <w:rPr>
          <w:sz w:val="24"/>
        </w:rPr>
        <w:t>日以上时，甲方有权终止合同，由此造成甲方的经济损失由乙方承担。</w:t>
      </w:r>
    </w:p>
    <w:p>
      <w:pPr>
        <w:pStyle w:val="null3"/>
        <w:ind w:firstLine="480"/>
        <w:jc w:val="both"/>
      </w:pPr>
      <w:r>
        <w:rPr>
          <w:sz w:val="24"/>
        </w:rPr>
        <w:t>（</w:t>
      </w:r>
      <w:r>
        <w:rPr>
          <w:sz w:val="24"/>
        </w:rPr>
        <w:t>7</w:t>
      </w:r>
      <w:r>
        <w:rPr>
          <w:sz w:val="24"/>
        </w:rPr>
        <w:t>）甲方有权以书面形式要求乙方更换不能胜任合同履行工作的项目人员。即使是甲方要求或同意更换的人员，其代替人员的资历仍应得到甲方的认可，且其资历和经验均不低于被更换人员。由此而产生的费用由乙方承担。</w:t>
      </w:r>
    </w:p>
    <w:p>
      <w:pPr>
        <w:pStyle w:val="null3"/>
        <w:ind w:firstLine="480"/>
        <w:jc w:val="both"/>
      </w:pPr>
      <w:r>
        <w:rPr>
          <w:sz w:val="24"/>
        </w:rPr>
        <w:t>（</w:t>
      </w:r>
      <w:r>
        <w:rPr>
          <w:sz w:val="24"/>
        </w:rPr>
        <w:t>8</w:t>
      </w:r>
      <w:r>
        <w:rPr>
          <w:sz w:val="24"/>
        </w:rPr>
        <w:t>）在服务期间内，乙方必须按照有关规定，为本合同项目所有工作服务人员缴纳各种社会保险。如服务期内乙方与员工发生劳动纠纷，由乙方自行承担全部责任；乙方的服务人员直接或间接的工作失误导致发生的事故</w:t>
      </w:r>
      <w:r>
        <w:rPr>
          <w:sz w:val="24"/>
        </w:rPr>
        <w:t>(</w:t>
      </w:r>
      <w:r>
        <w:rPr>
          <w:sz w:val="24"/>
        </w:rPr>
        <w:t>包括但不限于意外、工伤医疗事故等</w:t>
      </w:r>
      <w:r>
        <w:rPr>
          <w:sz w:val="24"/>
        </w:rPr>
        <w:t>)</w:t>
      </w:r>
      <w:r>
        <w:rPr>
          <w:sz w:val="24"/>
        </w:rPr>
        <w:t>，一切责任由乙方负责。</w:t>
      </w:r>
    </w:p>
    <w:p>
      <w:pPr>
        <w:pStyle w:val="null3"/>
        <w:ind w:firstLine="480"/>
        <w:jc w:val="both"/>
      </w:pPr>
      <w:r>
        <w:rPr>
          <w:sz w:val="24"/>
        </w:rPr>
        <w:t>3.8</w:t>
      </w:r>
      <w:r>
        <w:rPr>
          <w:sz w:val="24"/>
        </w:rPr>
        <w:t>培训、交付与运行保障要求</w:t>
      </w:r>
    </w:p>
    <w:p>
      <w:pPr>
        <w:pStyle w:val="null3"/>
        <w:ind w:firstLine="480"/>
        <w:jc w:val="both"/>
      </w:pPr>
      <w:r>
        <w:rPr>
          <w:sz w:val="24"/>
        </w:rPr>
        <w:t>3.8.1</w:t>
      </w:r>
      <w:r>
        <w:rPr>
          <w:sz w:val="24"/>
        </w:rPr>
        <w:t>乙方应提供覆盖不同角色的培训服务，包括但不限于业务人员、技术管理人员及运维人员，确保相关人员具备平台使用与管理能力。</w:t>
      </w:r>
    </w:p>
    <w:p>
      <w:pPr>
        <w:pStyle w:val="null3"/>
        <w:ind w:firstLine="480"/>
        <w:jc w:val="both"/>
      </w:pPr>
      <w:r>
        <w:rPr>
          <w:sz w:val="24"/>
        </w:rPr>
        <w:t>3.8.2</w:t>
      </w:r>
      <w:r>
        <w:rPr>
          <w:sz w:val="24"/>
        </w:rPr>
        <w:t>培训内容应涵盖平台功能使用、流程配置、数据与智能能力使用、基础运行管理及日常维护要点，并形成可验收的培训成果材料。</w:t>
      </w:r>
    </w:p>
    <w:p>
      <w:pPr>
        <w:pStyle w:val="null3"/>
        <w:ind w:firstLine="480"/>
        <w:jc w:val="both"/>
      </w:pPr>
      <w:r>
        <w:rPr>
          <w:sz w:val="24"/>
        </w:rPr>
        <w:t>3.8.3</w:t>
      </w:r>
      <w:r>
        <w:rPr>
          <w:sz w:val="24"/>
        </w:rPr>
        <w:t>项目交付成果应包含平台运行所需的技术文档、配置说明、操作指南及必要的管理文档，满足甲方自主运行与管理需求。</w:t>
      </w:r>
    </w:p>
    <w:p>
      <w:pPr>
        <w:pStyle w:val="null3"/>
        <w:ind w:firstLine="480"/>
        <w:jc w:val="both"/>
      </w:pPr>
      <w:r>
        <w:rPr>
          <w:sz w:val="24"/>
        </w:rPr>
        <w:t>3.8.4</w:t>
      </w:r>
      <w:r>
        <w:rPr>
          <w:sz w:val="24"/>
        </w:rPr>
        <w:t>项目上线后，乙方应提供必要的技术支持与运行保障服务，协助甲方保障平台稳定运行，并支持后续优化与能力扩展。</w:t>
      </w:r>
    </w:p>
    <w:p>
      <w:pPr>
        <w:pStyle w:val="null3"/>
        <w:ind w:firstLine="482"/>
        <w:jc w:val="both"/>
      </w:pPr>
      <w:r>
        <w:rPr>
          <w:sz w:val="24"/>
          <w:b/>
        </w:rPr>
        <w:t>（四）主要服务内容与交付成果清单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服务目标说明</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主要交付成果（含平台</w:t>
            </w:r>
            <w:r>
              <w:rPr>
                <w:sz w:val="24"/>
              </w:rPr>
              <w:t>/</w:t>
            </w:r>
            <w:r>
              <w:rPr>
                <w:sz w:val="24"/>
              </w:rPr>
              <w:t>配置</w:t>
            </w:r>
            <w:r>
              <w:rPr>
                <w:sz w:val="24"/>
              </w:rPr>
              <w:t>/</w:t>
            </w:r>
            <w:r>
              <w:rPr>
                <w:sz w:val="24"/>
              </w:rPr>
              <w:t>文档</w:t>
            </w:r>
            <w:r>
              <w:rPr>
                <w:sz w:val="24"/>
              </w:rPr>
              <w:t>/</w:t>
            </w:r>
            <w:r>
              <w:rPr>
                <w:sz w:val="24"/>
              </w:rPr>
              <w:t>清单）</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可信中枢平台与集成治理服务体系建设服务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建设可信医工协同中枢平台，形成多院区多系统并行接入、能力封装、统一调度与审计治理体系，并建立可治理的接口</w:t>
            </w:r>
            <w:r>
              <w:rPr>
                <w:sz w:val="24"/>
              </w:rPr>
              <w:t>/</w:t>
            </w:r>
            <w:r>
              <w:rPr>
                <w:sz w:val="24"/>
              </w:rPr>
              <w:t>事件</w:t>
            </w:r>
            <w:r>
              <w:rPr>
                <w:sz w:val="24"/>
              </w:rPr>
              <w:t>/</w:t>
            </w:r>
            <w:r>
              <w:rPr>
                <w:sz w:val="24"/>
              </w:rPr>
              <w:t>文档</w:t>
            </w:r>
            <w:r>
              <w:rPr>
                <w:sz w:val="24"/>
              </w:rPr>
              <w:t>/</w:t>
            </w:r>
            <w:r>
              <w:rPr>
                <w:sz w:val="24"/>
              </w:rPr>
              <w:t>数据服务目录化机制。</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平台部署与配置管理服务（含接口</w:t>
            </w:r>
            <w:r>
              <w:rPr>
                <w:sz w:val="24"/>
              </w:rPr>
              <w:t>/</w:t>
            </w:r>
            <w:r>
              <w:rPr>
                <w:sz w:val="24"/>
              </w:rPr>
              <w:t>事件</w:t>
            </w:r>
            <w:r>
              <w:rPr>
                <w:sz w:val="24"/>
              </w:rPr>
              <w:t>/</w:t>
            </w:r>
            <w:r>
              <w:rPr>
                <w:sz w:val="24"/>
              </w:rPr>
              <w:t>文档</w:t>
            </w:r>
            <w:r>
              <w:rPr>
                <w:sz w:val="24"/>
              </w:rPr>
              <w:t>/</w:t>
            </w:r>
            <w:r>
              <w:rPr>
                <w:sz w:val="24"/>
              </w:rPr>
              <w:t>数据服务目录）及版本治理规则；防腐层中间件与映射服务，规则与回滚策略管理；统一审计与追溯配置说明；运行监控与告警配置说明。</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智慧大脑系统与注册服务中心建设服务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建设智慧大脑系统，提供模型与智能体的统一注册、部署、运行、监控、版本管理与下线能力；建立注册服务体系与受控调用机制，确保智能能力可控、可审计、可追溯。</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智慧大脑系统部署与配置说明；模型注册服务、智能体注册服务、</w:t>
            </w:r>
            <w:r>
              <w:rPr>
                <w:sz w:val="24"/>
              </w:rPr>
              <w:t>AI</w:t>
            </w:r>
            <w:r>
              <w:rPr>
                <w:sz w:val="24"/>
              </w:rPr>
              <w:t>策略注册服务、智能体工具注册服务管理规范与样例；权限与风险分级配置说明；运行监控与日志说明。</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人工智能数据工程与指标体系建设服务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围绕中枢平台运行与智能服务交付需求，建立数据标准、主数据与指标口径体系，形成可稳定调用的数据服务、指标服务与可复用训练</w:t>
            </w:r>
            <w:r>
              <w:rPr>
                <w:sz w:val="24"/>
              </w:rPr>
              <w:t>/</w:t>
            </w:r>
            <w:r>
              <w:rPr>
                <w:sz w:val="24"/>
              </w:rPr>
              <w:t>评测数据集能力。</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数据标准与指标口径手册；主数据治理清单与维护流程；数据服务目录、指标服务目录；标准化训练</w:t>
            </w:r>
            <w:r>
              <w:rPr>
                <w:sz w:val="24"/>
              </w:rPr>
              <w:t>/</w:t>
            </w:r>
            <w:r>
              <w:rPr>
                <w:sz w:val="24"/>
              </w:rPr>
              <w:t>评测数据集清单（含版本、血缘、权限与访问记录）。</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首期场景智能服务部署与流程嵌入交付服务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围绕甲方确认的高频典型场景完成若干智能服务</w:t>
            </w:r>
            <w:r>
              <w:rPr>
                <w:sz w:val="24"/>
              </w:rPr>
              <w:t>/</w:t>
            </w:r>
            <w:r>
              <w:rPr>
                <w:sz w:val="24"/>
              </w:rPr>
              <w:t>智能体的嵌入式交付，形成可用、可控、可审计的业务闭环提升。</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场景智能服务清单；流程嵌入说明（触发点、输入上下文、输出与人工干预点）；风险分级与人类在环配置；审计与证据链配置；试运行效果与问题清单及优化记录。</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医工协同机制与联合建模</w:t>
            </w:r>
            <w:r>
              <w:rPr>
                <w:sz w:val="24"/>
              </w:rPr>
              <w:t>/</w:t>
            </w:r>
            <w:r>
              <w:rPr>
                <w:sz w:val="24"/>
              </w:rPr>
              <w:t>调优服务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建立</w:t>
            </w:r>
            <w:r>
              <w:rPr>
                <w:sz w:val="24"/>
              </w:rPr>
              <w:t>“需求共建、方案共评、效果共调”的医工协同机制，支撑模型训练</w:t>
            </w:r>
            <w:r>
              <w:rPr>
                <w:sz w:val="24"/>
              </w:rPr>
              <w:t>/</w:t>
            </w:r>
            <w:r>
              <w:rPr>
                <w:sz w:val="24"/>
              </w:rPr>
              <w:t>评测</w:t>
            </w:r>
            <w:r>
              <w:rPr>
                <w:sz w:val="24"/>
              </w:rPr>
              <w:t>/</w:t>
            </w:r>
            <w:r>
              <w:rPr>
                <w:sz w:val="24"/>
              </w:rPr>
              <w:t>调优与智能体策略持续迭代，形成可持续运营能力。</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医工协同机制文件（角色职责、流程、例会与评审机制）；联合建模台账（需求、数据、评测、迭代记录）；模型</w:t>
            </w:r>
            <w:r>
              <w:rPr>
                <w:sz w:val="24"/>
              </w:rPr>
              <w:t>/</w:t>
            </w:r>
            <w:r>
              <w:rPr>
                <w:sz w:val="24"/>
              </w:rPr>
              <w:t>策略变更评审记录；阶段复盘与优化建议。</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培训与能力转移支持服务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提供分角色培训与能力转移支持，确保业务、技术、运维与管理人员具备平台使用与基本运营能力。</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培训计划；培训课件与教材；签到与培训记录；操作手册；能力转移清单与交接说明。</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上线部署、试运行与持续运行保障服务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提供平台上线部署支持、试运行保障与持续服务支持，保障平台稳定运行并支持持续优化。</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上线确认文档；试运行保障方案与日报</w:t>
            </w:r>
            <w:r>
              <w:rPr>
                <w:sz w:val="24"/>
              </w:rPr>
              <w:t>/</w:t>
            </w:r>
            <w:r>
              <w:rPr>
                <w:sz w:val="24"/>
              </w:rPr>
              <w:t>周报；服务响应与问题闭环记录；运行保障月报（可用性、故障、变更、告警）；最终验收支撑材料。</w:t>
            </w:r>
          </w:p>
        </w:tc>
      </w:tr>
    </w:tbl>
    <w:p>
      <w:pPr>
        <w:pStyle w:val="null3"/>
        <w:jc w:val="both"/>
      </w:pPr>
      <w:r>
        <w:rPr>
          <w:sz w:val="24"/>
          <w:b/>
        </w:rPr>
        <w:t>（五）运维服务质量考核表</w:t>
      </w:r>
    </w:p>
    <w:p>
      <w:pPr>
        <w:pStyle w:val="null3"/>
        <w:jc w:val="both"/>
      </w:pPr>
      <w:r>
        <w:rPr>
          <w:sz w:val="24"/>
        </w:rPr>
        <w:t>考核满分为</w:t>
      </w:r>
      <w:r>
        <w:rPr>
          <w:sz w:val="24"/>
        </w:rPr>
        <w:t>100</w:t>
      </w:r>
      <w:r>
        <w:rPr>
          <w:sz w:val="24"/>
        </w:rPr>
        <w:t>分。评分细则如下（扣减分情况）</w:t>
      </w:r>
      <w:r>
        <w:rPr>
          <w:sz w:val="24"/>
        </w:rPr>
        <w:t>:</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968"/>
        <w:gridCol w:w="1267"/>
        <w:gridCol w:w="5077"/>
        <w:gridCol w:w="990"/>
      </w:tblGrid>
      <w:tr>
        <w:tc>
          <w:tcPr>
            <w:tcW w:type="dxa" w:w="968"/>
            <w:tcBorders>
              <w:top w:val="singl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b/>
              </w:rPr>
              <w:t>序号</w:t>
            </w:r>
          </w:p>
        </w:tc>
        <w:tc>
          <w:tcPr>
            <w:tcW w:type="dxa" w:w="1267"/>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b/>
              </w:rPr>
              <w:t>考核项目</w:t>
            </w:r>
          </w:p>
        </w:tc>
        <w:tc>
          <w:tcPr>
            <w:tcW w:type="dxa" w:w="5077"/>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b/>
              </w:rPr>
              <w:t>评分细则</w:t>
            </w:r>
          </w:p>
        </w:tc>
        <w:tc>
          <w:tcPr>
            <w:tcW w:type="dxa" w:w="990"/>
            <w:tcBorders>
              <w:top w:val="singl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b/>
              </w:rPr>
              <w:t>扣分情况</w:t>
            </w:r>
          </w:p>
        </w:tc>
      </w:tr>
      <w:tr>
        <w:tc>
          <w:tcPr>
            <w:tcW w:type="dxa" w:w="968"/>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1</w:t>
            </w:r>
          </w:p>
        </w:tc>
        <w:tc>
          <w:tcPr>
            <w:tcW w:type="dxa" w:w="1267"/>
            <w:vMerge w:val="restart"/>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优化需求管理</w:t>
            </w: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w:t>
            </w:r>
            <w:r>
              <w:rPr>
                <w:sz w:val="21"/>
              </w:rPr>
              <w:t>、未能按时完成需求收集工作，扣</w:t>
            </w:r>
            <w:r>
              <w:rPr>
                <w:sz w:val="21"/>
              </w:rPr>
              <w:t>2</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vMerge/>
            <w:tcBorders>
              <w:top w:val="none" w:color="000000" w:sz="4"/>
              <w:left w:val="singl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2</w:t>
            </w:r>
            <w:r>
              <w:rPr>
                <w:sz w:val="21"/>
              </w:rPr>
              <w:t>、擅自修改已确定的优化需求范围，不通报甲方对接人的，发现一次扣</w:t>
            </w:r>
            <w:r>
              <w:rPr>
                <w:sz w:val="21"/>
              </w:rPr>
              <w:t>2</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vMerge/>
            <w:tcBorders>
              <w:top w:val="none" w:color="000000" w:sz="4"/>
              <w:left w:val="singl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3</w:t>
            </w:r>
            <w:r>
              <w:rPr>
                <w:sz w:val="21"/>
              </w:rPr>
              <w:t>、发现重大优化需求分析缺陷，扣</w:t>
            </w:r>
            <w:r>
              <w:rPr>
                <w:sz w:val="21"/>
              </w:rPr>
              <w:t>2</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2</w:t>
            </w:r>
          </w:p>
        </w:tc>
        <w:tc>
          <w:tcPr>
            <w:tcW w:type="dxa" w:w="1267"/>
            <w:vMerge w:val="restart"/>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沟通管理</w:t>
            </w: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w:t>
            </w:r>
            <w:r>
              <w:rPr>
                <w:sz w:val="21"/>
              </w:rPr>
              <w:t>、对外擅自承诺新版本发布或</w:t>
            </w:r>
            <w:r>
              <w:rPr>
                <w:sz w:val="21"/>
              </w:rPr>
              <w:t>BUG</w:t>
            </w:r>
            <w:r>
              <w:rPr>
                <w:sz w:val="21"/>
              </w:rPr>
              <w:t>修复时间，发现一次扣</w:t>
            </w:r>
            <w:r>
              <w:rPr>
                <w:sz w:val="21"/>
              </w:rPr>
              <w:t>2</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vMerge/>
            <w:tcBorders>
              <w:top w:val="none" w:color="000000" w:sz="4"/>
              <w:left w:val="singl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2</w:t>
            </w:r>
            <w:r>
              <w:rPr>
                <w:sz w:val="21"/>
              </w:rPr>
              <w:t>、项目软件有</w:t>
            </w:r>
            <w:r>
              <w:rPr>
                <w:sz w:val="21"/>
              </w:rPr>
              <w:t>BUG,</w:t>
            </w:r>
            <w:r>
              <w:rPr>
                <w:sz w:val="21"/>
              </w:rPr>
              <w:t>发现以后不及时通报甲方对接人，不能及时解决因为</w:t>
            </w:r>
            <w:r>
              <w:rPr>
                <w:sz w:val="21"/>
              </w:rPr>
              <w:t>BUG</w:t>
            </w:r>
            <w:r>
              <w:rPr>
                <w:sz w:val="21"/>
              </w:rPr>
              <w:t>导致的开发问题，发现一次扣</w:t>
            </w:r>
            <w:r>
              <w:rPr>
                <w:sz w:val="21"/>
              </w:rPr>
              <w:t>3</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3</w:t>
            </w:r>
          </w:p>
        </w:tc>
        <w:tc>
          <w:tcPr>
            <w:tcW w:type="dxa" w:w="1267"/>
            <w:vMerge w:val="restart"/>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故障处理及</w:t>
            </w:r>
            <w:r>
              <w:rPr>
                <w:sz w:val="21"/>
              </w:rPr>
              <w:t>Bug</w:t>
            </w:r>
            <w:r>
              <w:rPr>
                <w:sz w:val="21"/>
              </w:rPr>
              <w:t>修复时限</w:t>
            </w: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w:t>
            </w:r>
            <w:r>
              <w:rPr>
                <w:sz w:val="21"/>
              </w:rPr>
              <w:t>、引起业务中断的故障（明确非项目软件原因除外），每发生一次重大故障扣</w:t>
            </w:r>
            <w:r>
              <w:rPr>
                <w:sz w:val="21"/>
              </w:rPr>
              <w:t>5</w:t>
            </w:r>
            <w:r>
              <w:rPr>
                <w:sz w:val="21"/>
              </w:rPr>
              <w:t>分到</w:t>
            </w:r>
            <w:r>
              <w:rPr>
                <w:sz w:val="21"/>
              </w:rPr>
              <w:t>15</w:t>
            </w:r>
            <w:r>
              <w:rPr>
                <w:sz w:val="21"/>
              </w:rPr>
              <w:t>分；每发生一次非重大故障扣</w:t>
            </w:r>
            <w:r>
              <w:rPr>
                <w:sz w:val="21"/>
              </w:rPr>
              <w:t>1</w:t>
            </w:r>
            <w:r>
              <w:rPr>
                <w:sz w:val="21"/>
              </w:rPr>
              <w:t>分到</w:t>
            </w:r>
            <w:r>
              <w:rPr>
                <w:sz w:val="21"/>
              </w:rPr>
              <w:t>4</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vMerge/>
            <w:tcBorders>
              <w:top w:val="none" w:color="000000" w:sz="4"/>
              <w:left w:val="singl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2</w:t>
            </w:r>
            <w:r>
              <w:rPr>
                <w:sz w:val="21"/>
              </w:rPr>
              <w:t>、因文档不全、人员未及时到位等导致不能及时进行故障处理，每次扣</w:t>
            </w:r>
            <w:r>
              <w:rPr>
                <w:sz w:val="21"/>
              </w:rPr>
              <w:t>2</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vMerge/>
            <w:tcBorders>
              <w:top w:val="none" w:color="000000" w:sz="4"/>
              <w:left w:val="singl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3</w:t>
            </w:r>
            <w:r>
              <w:rPr>
                <w:sz w:val="21"/>
              </w:rPr>
              <w:t>、未按照共同确定的时限修复软件</w:t>
            </w:r>
            <w:r>
              <w:rPr>
                <w:sz w:val="21"/>
              </w:rPr>
              <w:t>BUG,</w:t>
            </w:r>
            <w:r>
              <w:rPr>
                <w:sz w:val="21"/>
              </w:rPr>
              <w:t>发现一次扣</w:t>
            </w:r>
            <w:r>
              <w:rPr>
                <w:sz w:val="21"/>
              </w:rPr>
              <w:t>5</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4</w:t>
            </w:r>
          </w:p>
        </w:tc>
        <w:tc>
          <w:tcPr>
            <w:tcW w:type="dxa" w:w="1267"/>
            <w:vMerge w:val="restart"/>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文档管理</w:t>
            </w: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w:t>
            </w:r>
            <w:r>
              <w:rPr>
                <w:sz w:val="21"/>
              </w:rPr>
              <w:t>、优化版本没有完整的设计、实施、开发、维护文档，而发布上线，发现一次扣</w:t>
            </w:r>
            <w:r>
              <w:rPr>
                <w:sz w:val="21"/>
              </w:rPr>
              <w:t>3</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vMerge/>
            <w:tcBorders>
              <w:top w:val="none" w:color="000000" w:sz="4"/>
              <w:left w:val="singl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2</w:t>
            </w:r>
            <w:r>
              <w:rPr>
                <w:sz w:val="21"/>
              </w:rPr>
              <w:t>、文档更新不及时，发现一次扣</w:t>
            </w:r>
            <w:r>
              <w:rPr>
                <w:sz w:val="21"/>
              </w:rPr>
              <w:t>1</w:t>
            </w:r>
            <w:r>
              <w:rPr>
                <w:sz w:val="21"/>
              </w:rPr>
              <w:t>分，引起问题的，发现一次扣</w:t>
            </w:r>
            <w:r>
              <w:rPr>
                <w:sz w:val="21"/>
              </w:rPr>
              <w:t>2</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both"/>
            </w:pPr>
            <w:r>
              <w:rPr>
                <w:sz w:val="19"/>
              </w:rPr>
              <w:t xml:space="preserve"> </w:t>
            </w:r>
          </w:p>
        </w:tc>
      </w:tr>
      <w:tr>
        <w:tc>
          <w:tcPr>
            <w:tcW w:type="dxa" w:w="968"/>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5</w:t>
            </w:r>
          </w:p>
        </w:tc>
        <w:tc>
          <w:tcPr>
            <w:tcW w:type="dxa" w:w="126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版本管理</w:t>
            </w: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w:t>
            </w:r>
            <w:r>
              <w:rPr>
                <w:sz w:val="21"/>
              </w:rPr>
              <w:t>、没有及时按要求进行版本的升级维护，发现一次扣</w:t>
            </w:r>
            <w:r>
              <w:rPr>
                <w:sz w:val="21"/>
              </w:rPr>
              <w:t>3</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vMerge w:val="restart"/>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6</w:t>
            </w:r>
          </w:p>
        </w:tc>
        <w:tc>
          <w:tcPr>
            <w:tcW w:type="dxa" w:w="1267"/>
            <w:vMerge w:val="restart"/>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日常维护</w:t>
            </w: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w:t>
            </w:r>
            <w:r>
              <w:rPr>
                <w:sz w:val="21"/>
              </w:rPr>
              <w:t>、电话支持服务：</w:t>
            </w:r>
            <w:r>
              <w:br/>
            </w:r>
            <w:r>
              <w:rPr>
                <w:sz w:val="21"/>
              </w:rPr>
              <w:t>上班时间无人接听支持电话，每发生一次扣</w:t>
            </w:r>
            <w:r>
              <w:rPr>
                <w:sz w:val="21"/>
              </w:rPr>
              <w:t>1</w:t>
            </w:r>
            <w:r>
              <w:rPr>
                <w:sz w:val="21"/>
              </w:rPr>
              <w:t>分；</w:t>
            </w:r>
            <w:r>
              <w:br/>
            </w:r>
            <w:r>
              <w:rPr>
                <w:sz w:val="21"/>
              </w:rPr>
              <w:t>接听支持电话时，态度不好或推诿，每发生一次扣</w:t>
            </w:r>
            <w:r>
              <w:rPr>
                <w:sz w:val="21"/>
              </w:rPr>
              <w:t>1</w:t>
            </w:r>
            <w:r>
              <w:rPr>
                <w:sz w:val="21"/>
              </w:rPr>
              <w:t>分；</w:t>
            </w:r>
            <w:r>
              <w:br/>
            </w:r>
            <w:r>
              <w:rPr>
                <w:sz w:val="21"/>
              </w:rPr>
              <w:t>对于无法电话中解决的问题，下一步解决安排不妥当而导致投诉升级，每发生一次扣</w:t>
            </w:r>
            <w:r>
              <w:rPr>
                <w:sz w:val="21"/>
              </w:rPr>
              <w:t>2</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vMerge/>
            <w:tcBorders>
              <w:top w:val="none" w:color="000000" w:sz="4"/>
              <w:left w:val="singl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2</w:t>
            </w:r>
            <w:r>
              <w:rPr>
                <w:sz w:val="21"/>
              </w:rPr>
              <w:t>、邮件支持服务：</w:t>
            </w:r>
            <w:r>
              <w:br/>
            </w:r>
            <w:r>
              <w:rPr>
                <w:sz w:val="21"/>
              </w:rPr>
              <w:t>收到用户（含用户方集成商）反映问题的邮件后，在</w:t>
            </w:r>
            <w:r>
              <w:rPr>
                <w:sz w:val="21"/>
              </w:rPr>
              <w:t>24</w:t>
            </w:r>
            <w:r>
              <w:rPr>
                <w:sz w:val="21"/>
              </w:rPr>
              <w:t>小时内不处理（周六、日除外），每发生一次扣</w:t>
            </w:r>
            <w:r>
              <w:rPr>
                <w:sz w:val="21"/>
              </w:rPr>
              <w:t>1</w:t>
            </w:r>
            <w:r>
              <w:rPr>
                <w:sz w:val="21"/>
              </w:rPr>
              <w:t>分；</w:t>
            </w:r>
            <w:r>
              <w:br/>
            </w:r>
            <w:r>
              <w:rPr>
                <w:sz w:val="21"/>
              </w:rPr>
              <w:t>处理完用户的问题后，不及时反馈，每发生一次扣</w:t>
            </w:r>
            <w:r>
              <w:rPr>
                <w:sz w:val="21"/>
              </w:rPr>
              <w:t>1</w:t>
            </w:r>
            <w:r>
              <w:rPr>
                <w:sz w:val="21"/>
              </w:rPr>
              <w:t>分；</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7</w:t>
            </w:r>
          </w:p>
        </w:tc>
        <w:tc>
          <w:tcPr>
            <w:tcW w:type="dxa" w:w="126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重大事项一票否决规定</w:t>
            </w: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对于项目软件提供商严重违反规定，如：项目严重超期、产品质量严重不符合甲方要求、泄露系统配置、系统信息、相关文档内容和核心技术；因其他原因导致重大故障，引起严重后果。当次考核得分为零，并按相关规定追究当事人及所在公司的责任。</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968"/>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8</w:t>
            </w:r>
          </w:p>
        </w:tc>
        <w:tc>
          <w:tcPr>
            <w:tcW w:type="dxa" w:w="126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奖励和加分说明</w:t>
            </w:r>
          </w:p>
        </w:tc>
        <w:tc>
          <w:tcPr>
            <w:tcW w:type="dxa" w:w="5077"/>
            <w:tcBorders>
              <w:top w:val="none" w:color="000000" w:sz="4"/>
              <w:left w:val="none" w:color="000000" w:sz="4"/>
              <w:bottom w:val="single" w:color="000000" w:sz="4"/>
              <w:right w:val="single" w:color="000000" w:sz="4"/>
            </w:tcBorders>
            <w:shd w:fill="FFFFFF"/>
            <w:tcMar>
              <w:top w:type="dxa" w:w="15"/>
              <w:left w:type="dxa" w:w="15"/>
              <w:bottom w:type="dxa" w:w="15"/>
              <w:right w:type="dxa" w:w="15"/>
            </w:tcMar>
            <w:vAlign w:val="top"/>
          </w:tcPr>
          <w:p>
            <w:pPr>
              <w:pStyle w:val="null3"/>
              <w:jc w:val="left"/>
            </w:pPr>
            <w:r>
              <w:rPr>
                <w:sz w:val="21"/>
              </w:rPr>
              <w:t>1.</w:t>
            </w:r>
            <w:r>
              <w:rPr>
                <w:sz w:val="21"/>
              </w:rPr>
              <w:t>奖励得分前提条件为当月基本得分在</w:t>
            </w:r>
            <w:r>
              <w:rPr>
                <w:sz w:val="21"/>
              </w:rPr>
              <w:t>80</w:t>
            </w:r>
            <w:r>
              <w:rPr>
                <w:sz w:val="21"/>
              </w:rPr>
              <w:t>分以上，且奖励总分原则上不超过</w:t>
            </w:r>
            <w:r>
              <w:rPr>
                <w:sz w:val="21"/>
              </w:rPr>
              <w:t>20</w:t>
            </w:r>
            <w:r>
              <w:rPr>
                <w:sz w:val="21"/>
              </w:rPr>
              <w:t>分，奖励分数</w:t>
            </w:r>
            <w:r>
              <w:rPr>
                <w:sz w:val="21"/>
              </w:rPr>
              <w:t>+</w:t>
            </w:r>
            <w:r>
              <w:rPr>
                <w:sz w:val="21"/>
              </w:rPr>
              <w:t>当月基本得分原则上不超过</w:t>
            </w:r>
            <w:r>
              <w:rPr>
                <w:sz w:val="21"/>
              </w:rPr>
              <w:t>100</w:t>
            </w:r>
            <w:r>
              <w:rPr>
                <w:sz w:val="21"/>
              </w:rPr>
              <w:t>分。</w:t>
            </w:r>
          </w:p>
          <w:p>
            <w:pPr>
              <w:pStyle w:val="null3"/>
              <w:jc w:val="left"/>
            </w:pPr>
            <w:r>
              <w:rPr>
                <w:sz w:val="21"/>
              </w:rPr>
              <w:t>2.</w:t>
            </w:r>
            <w:r>
              <w:rPr>
                <w:sz w:val="21"/>
              </w:rPr>
              <w:t>发现基于此项目在开发和维护管理中存在风险并及时提出解决方案每次可给予</w:t>
            </w:r>
            <w:r>
              <w:rPr>
                <w:sz w:val="21"/>
              </w:rPr>
              <w:t>5</w:t>
            </w:r>
            <w:r>
              <w:rPr>
                <w:sz w:val="21"/>
              </w:rPr>
              <w:t>分奖励。</w:t>
            </w:r>
          </w:p>
          <w:p>
            <w:pPr>
              <w:pStyle w:val="null3"/>
              <w:jc w:val="left"/>
            </w:pPr>
            <w:r>
              <w:rPr>
                <w:sz w:val="21"/>
              </w:rPr>
              <w:t>3.</w:t>
            </w:r>
            <w:r>
              <w:rPr>
                <w:sz w:val="21"/>
              </w:rPr>
              <w:t>发生系统故障，并积极主动配合并挽回或避免损失可给予</w:t>
            </w:r>
            <w:r>
              <w:rPr>
                <w:sz w:val="21"/>
              </w:rPr>
              <w:t>2</w:t>
            </w:r>
            <w:r>
              <w:rPr>
                <w:sz w:val="21"/>
              </w:rPr>
              <w:t>到</w:t>
            </w:r>
            <w:r>
              <w:rPr>
                <w:sz w:val="21"/>
              </w:rPr>
              <w:t>6</w:t>
            </w:r>
            <w:r>
              <w:rPr>
                <w:sz w:val="21"/>
              </w:rPr>
              <w:t>分奖励。</w:t>
            </w:r>
          </w:p>
          <w:p>
            <w:pPr>
              <w:pStyle w:val="null3"/>
              <w:jc w:val="left"/>
            </w:pPr>
            <w:r>
              <w:rPr>
                <w:sz w:val="21"/>
              </w:rPr>
              <w:t>4.</w:t>
            </w:r>
            <w:r>
              <w:rPr>
                <w:sz w:val="21"/>
              </w:rPr>
              <w:t>提出有价值的合理化建议，每次给予加</w:t>
            </w:r>
            <w:r>
              <w:rPr>
                <w:sz w:val="21"/>
              </w:rPr>
              <w:t>1</w:t>
            </w:r>
            <w:r>
              <w:rPr>
                <w:sz w:val="21"/>
              </w:rPr>
              <w:t>分奖励，如果采纳并取得显著效果的，每次给予加</w:t>
            </w:r>
            <w:r>
              <w:rPr>
                <w:sz w:val="21"/>
              </w:rPr>
              <w:t>5</w:t>
            </w:r>
            <w:r>
              <w:rPr>
                <w:sz w:val="21"/>
              </w:rPr>
              <w:t>分奖励。</w:t>
            </w:r>
          </w:p>
          <w:p>
            <w:pPr>
              <w:pStyle w:val="null3"/>
              <w:jc w:val="left"/>
            </w:pPr>
            <w:r>
              <w:rPr>
                <w:sz w:val="21"/>
              </w:rPr>
              <w:t>5.</w:t>
            </w:r>
            <w:r>
              <w:rPr>
                <w:sz w:val="21"/>
              </w:rPr>
              <w:t>对投诉处理积极主动，提出合理化解决投诉方案，配合解决好重大投诉</w:t>
            </w:r>
            <w:r>
              <w:rPr>
                <w:sz w:val="21"/>
              </w:rPr>
              <w:t>,</w:t>
            </w:r>
            <w:r>
              <w:rPr>
                <w:sz w:val="21"/>
              </w:rPr>
              <w:t>可给与</w:t>
            </w:r>
            <w:r>
              <w:rPr>
                <w:sz w:val="21"/>
              </w:rPr>
              <w:t>1-5</w:t>
            </w:r>
            <w:r>
              <w:rPr>
                <w:sz w:val="21"/>
              </w:rPr>
              <w:t>分奖励。</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r>
        <w:tc>
          <w:tcPr>
            <w:tcW w:type="dxa" w:w="7312"/>
            <w:gridSpan w:val="3"/>
            <w:tcBorders>
              <w:top w:val="none" w:color="000000" w:sz="4"/>
              <w:left w:val="single" w:color="000000" w:sz="4"/>
              <w:bottom w:val="single" w:color="000000" w:sz="4"/>
              <w:right w:val="single" w:color="000000" w:sz="4"/>
            </w:tcBorders>
            <w:shd w:fill="FFFFFF"/>
            <w:tcMar>
              <w:top w:type="dxa" w:w="15"/>
              <w:left w:type="dxa" w:w="15"/>
              <w:bottom w:type="dxa" w:w="15"/>
              <w:right w:type="dxa" w:w="15"/>
            </w:tcMar>
            <w:vAlign w:val="top"/>
          </w:tcPr>
          <w:p>
            <w:pPr>
              <w:pStyle w:val="null3"/>
              <w:jc w:val="center"/>
            </w:pPr>
            <w:r>
              <w:rPr>
                <w:sz w:val="21"/>
              </w:rPr>
              <w:t>总得分（扣减分后）</w:t>
            </w:r>
          </w:p>
        </w:tc>
        <w:tc>
          <w:tcPr>
            <w:tcW w:type="dxa" w:w="99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19"/>
              </w:rPr>
              <w:t xml:space="preserve"> </w:t>
            </w:r>
          </w:p>
        </w:tc>
      </w:tr>
    </w:tbl>
    <w:p>
      <w:pPr>
        <w:pStyle w:val="null3"/>
        <w:jc w:val="both"/>
      </w:pPr>
      <w:r>
        <w:rPr>
          <w:sz w:val="24"/>
        </w:rPr>
        <w:t>考核说明：采用</w:t>
      </w:r>
      <w:r>
        <w:rPr>
          <w:sz w:val="24"/>
        </w:rPr>
        <w:t>100</w:t>
      </w:r>
      <w:r>
        <w:rPr>
          <w:sz w:val="24"/>
        </w:rPr>
        <w:t>分制，运维服务期内，甲方每半年对中标供应商的运维服务质量情况进行考核，甲方根据中标供应商该年度两次运维服务质量考核结果的平均值支付该年度运维服务期的服务费：</w:t>
      </w:r>
    </w:p>
    <w:p>
      <w:pPr>
        <w:pStyle w:val="null3"/>
        <w:jc w:val="both"/>
      </w:pPr>
      <w:r>
        <w:rPr>
          <w:sz w:val="24"/>
        </w:rPr>
        <w:t>1.</w:t>
      </w:r>
      <w:r>
        <w:rPr>
          <w:sz w:val="24"/>
        </w:rPr>
        <w:t>优秀：运维服务质量考核在</w:t>
      </w:r>
      <w:r>
        <w:rPr>
          <w:sz w:val="24"/>
        </w:rPr>
        <w:t>90</w:t>
      </w:r>
      <w:r>
        <w:rPr>
          <w:sz w:val="24"/>
        </w:rPr>
        <w:t>分（含）以上，足额支付该年度运维服务期的服务费。</w:t>
      </w:r>
    </w:p>
    <w:p>
      <w:pPr>
        <w:pStyle w:val="null3"/>
        <w:jc w:val="both"/>
      </w:pPr>
      <w:r>
        <w:rPr>
          <w:sz w:val="24"/>
        </w:rPr>
        <w:t>2.</w:t>
      </w:r>
      <w:r>
        <w:rPr>
          <w:sz w:val="24"/>
        </w:rPr>
        <w:t>良好：运维服务质量考核在</w:t>
      </w:r>
      <w:r>
        <w:rPr>
          <w:sz w:val="24"/>
        </w:rPr>
        <w:t>80</w:t>
      </w:r>
      <w:r>
        <w:rPr>
          <w:sz w:val="24"/>
        </w:rPr>
        <w:t>分</w:t>
      </w:r>
      <w:r>
        <w:rPr>
          <w:sz w:val="24"/>
        </w:rPr>
        <w:t>-89</w:t>
      </w:r>
      <w:r>
        <w:rPr>
          <w:sz w:val="24"/>
        </w:rPr>
        <w:t>分，扣除该年度运维服务期的服务费人民币</w:t>
      </w:r>
      <w:r>
        <w:rPr>
          <w:sz w:val="24"/>
        </w:rPr>
        <w:t>2,000.00</w:t>
      </w:r>
      <w:r>
        <w:rPr>
          <w:sz w:val="24"/>
        </w:rPr>
        <w:t>元，并责令中标供应商加强运维服务质量管理。</w:t>
      </w:r>
    </w:p>
    <w:p>
      <w:pPr>
        <w:pStyle w:val="null3"/>
        <w:jc w:val="both"/>
      </w:pPr>
      <w:r>
        <w:rPr>
          <w:sz w:val="24"/>
        </w:rPr>
        <w:t>3.</w:t>
      </w:r>
      <w:r>
        <w:rPr>
          <w:sz w:val="24"/>
        </w:rPr>
        <w:t>合格：运维服务质量考核在</w:t>
      </w:r>
      <w:r>
        <w:rPr>
          <w:sz w:val="24"/>
        </w:rPr>
        <w:t>60</w:t>
      </w:r>
      <w:r>
        <w:rPr>
          <w:sz w:val="24"/>
        </w:rPr>
        <w:t>分</w:t>
      </w:r>
      <w:r>
        <w:rPr>
          <w:sz w:val="24"/>
        </w:rPr>
        <w:t>-79</w:t>
      </w:r>
      <w:r>
        <w:rPr>
          <w:sz w:val="24"/>
        </w:rPr>
        <w:t>分，扣除该年度运维服务期的服务费人民币</w:t>
      </w:r>
      <w:r>
        <w:rPr>
          <w:sz w:val="24"/>
        </w:rPr>
        <w:t>5,000.00</w:t>
      </w:r>
      <w:r>
        <w:rPr>
          <w:sz w:val="24"/>
        </w:rPr>
        <w:t>元并责令整改，若整改无效的甲方有权单方面解除合同并全部扣除履约保证金，一切责任与甲方无关。</w:t>
      </w:r>
    </w:p>
    <w:p>
      <w:pPr>
        <w:pStyle w:val="null3"/>
        <w:jc w:val="both"/>
      </w:pPr>
      <w:r>
        <w:rPr>
          <w:sz w:val="24"/>
        </w:rPr>
        <w:t>4.</w:t>
      </w:r>
      <w:r>
        <w:rPr>
          <w:sz w:val="24"/>
        </w:rPr>
        <w:t>不合格：运维服务质量考核在</w:t>
      </w:r>
      <w:r>
        <w:rPr>
          <w:sz w:val="24"/>
        </w:rPr>
        <w:t>60</w:t>
      </w:r>
      <w:r>
        <w:rPr>
          <w:sz w:val="24"/>
        </w:rPr>
        <w:t>分（不含）以下，扣除该年度运维服务期的服务费且甲方有权全部扣除履约保证金及单方面解除合同，由此产生的一切责任由中标供应商承担。</w:t>
      </w:r>
    </w:p>
    <w:p>
      <w:pPr>
        <w:pStyle w:val="null3"/>
        <w:ind w:firstLine="482"/>
        <w:jc w:val="both"/>
      </w:pPr>
      <w:r>
        <w:rPr>
          <w:sz w:val="24"/>
        </w:rPr>
        <w:t>注：两次运维服务质量考核结果的平均值达到合格或以上并按甲方要求整改（如有）完毕则视运维服务质量考核合格。</w:t>
      </w:r>
    </w:p>
    <w:p>
      <w:pPr>
        <w:pStyle w:val="null3"/>
        <w:jc w:val="both"/>
      </w:pPr>
      <w:r>
        <w:rPr>
          <w:sz w:val="24"/>
          <w:b/>
        </w:rPr>
        <w:t>二、产品及服务供应清单：</w:t>
      </w:r>
      <w:r>
        <w:rPr>
          <w:sz w:val="24"/>
        </w:rPr>
        <w:t>见附件一《报价清单明细表》。</w:t>
      </w:r>
    </w:p>
    <w:p>
      <w:pPr>
        <w:pStyle w:val="null3"/>
        <w:jc w:val="both"/>
      </w:pPr>
      <w:r>
        <w:rPr>
          <w:sz w:val="24"/>
          <w:b/>
        </w:rPr>
        <w:t>三、基本合同条款一览表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68"/>
        <w:gridCol w:w="1203"/>
        <w:gridCol w:w="6533"/>
      </w:tblGrid>
      <w:tr>
        <w:tc>
          <w:tcPr>
            <w:tcW w:type="dxa" w:w="568"/>
            <w:tcBorders>
              <w:top w:val="singl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序号</w:t>
            </w:r>
          </w:p>
        </w:tc>
        <w:tc>
          <w:tcPr>
            <w:tcW w:type="dxa" w:w="1203"/>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合同条款</w:t>
            </w:r>
          </w:p>
        </w:tc>
        <w:tc>
          <w:tcPr>
            <w:tcW w:type="dxa" w:w="6533"/>
            <w:tcBorders>
              <w:top w:val="singl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内容</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1.</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合同总额</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sz w:val="24"/>
              </w:rPr>
              <w:t>人民币：小写：</w:t>
            </w:r>
            <w:r>
              <w:rPr>
                <w:sz w:val="19"/>
                <w:u w:val="single"/>
              </w:rPr>
              <w:t xml:space="preserve">           </w:t>
            </w:r>
            <w:r>
              <w:rPr>
                <w:sz w:val="24"/>
              </w:rPr>
              <w:t xml:space="preserve"> </w:t>
            </w:r>
            <w:r>
              <w:rPr>
                <w:sz w:val="24"/>
              </w:rPr>
              <w:t>元；</w:t>
            </w:r>
          </w:p>
          <w:p>
            <w:pPr>
              <w:pStyle w:val="null3"/>
              <w:jc w:val="both"/>
            </w:pPr>
            <w:r>
              <w:rPr>
                <w:sz w:val="24"/>
              </w:rPr>
              <w:t>大写：</w:t>
            </w:r>
            <w:r>
              <w:rPr>
                <w:sz w:val="19"/>
                <w:u w:val="single"/>
              </w:rPr>
              <w:t xml:space="preserve">                 </w:t>
            </w:r>
            <w:r>
              <w:rPr>
                <w:sz w:val="24"/>
              </w:rPr>
              <w:t xml:space="preserve"> </w:t>
            </w:r>
            <w:r>
              <w:rPr>
                <w:sz w:val="24"/>
              </w:rPr>
              <w:t>元整。</w:t>
            </w:r>
            <w:r>
              <w:rPr>
                <w:sz w:val="19"/>
                <w:u w:val="single"/>
              </w:rPr>
              <w:t xml:space="preserve">           </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2.</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合同总额</w:t>
            </w:r>
          </w:p>
          <w:p>
            <w:pPr>
              <w:pStyle w:val="null3"/>
              <w:jc w:val="center"/>
            </w:pPr>
            <w:r>
              <w:rPr>
                <w:sz w:val="24"/>
                <w:b/>
              </w:rPr>
              <w:t>内容</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pPr>
            <w:r>
              <w:rPr>
                <w:sz w:val="24"/>
              </w:rPr>
              <w:t>（</w:t>
            </w:r>
            <w:r>
              <w:rPr>
                <w:sz w:val="24"/>
              </w:rPr>
              <w:t>1</w:t>
            </w:r>
            <w:r>
              <w:rPr>
                <w:sz w:val="24"/>
              </w:rPr>
              <w:t>）合同金额应含人员施工费用、所有的税费、合同实施过程中的应预见和不可预见费用等，须包含完成该项目发生的全部费用，符合甲方提供的内容及顺序（合同“一、项目主要内容及实现功能目标”的“（四）主要服务内容与交付成果清单”）。如果乙方在签署合同后，在管理期限内出现的任何遗漏，均由乙方负责，甲方将不再支付任何费用。</w:t>
            </w:r>
          </w:p>
          <w:p>
            <w:pPr>
              <w:pStyle w:val="null3"/>
              <w:jc w:val="both"/>
            </w:pPr>
            <w:r>
              <w:rPr>
                <w:sz w:val="24"/>
              </w:rPr>
              <w:t>（</w:t>
            </w:r>
            <w:r>
              <w:rPr>
                <w:sz w:val="24"/>
              </w:rPr>
              <w:t>2</w:t>
            </w:r>
            <w:r>
              <w:rPr>
                <w:sz w:val="24"/>
              </w:rPr>
              <w:t>）项目合同金额应包含采购项目的全部费用，在合同期限内，项目服务费不以任何理由而增加。乙方已充分考虑服务期内物价水平、服务人员薪金的波动风险，愿意承担因这些风险所造成的一切经济损失，并放弃因此造成的损失求偿权。签订合同后，甲方按合同价支付费用，并在服务期内对合同价不作任何的调整。</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3.</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项目服务</w:t>
            </w:r>
          </w:p>
          <w:p>
            <w:pPr>
              <w:pStyle w:val="null3"/>
              <w:jc w:val="center"/>
            </w:pPr>
            <w:r>
              <w:rPr>
                <w:sz w:val="24"/>
                <w:b/>
              </w:rPr>
              <w:t>地点</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sz w:val="24"/>
              </w:rPr>
              <w:t>甲方（用户）指定地点。</w:t>
            </w:r>
          </w:p>
          <w:p>
            <w:pPr>
              <w:pStyle w:val="null3"/>
              <w:jc w:val="left"/>
            </w:pPr>
            <w:r>
              <w:rPr>
                <w:sz w:val="24"/>
              </w:rPr>
              <w:t>详细地址为：佛山市南海区大沥镇钟边路</w:t>
            </w:r>
            <w:r>
              <w:rPr>
                <w:sz w:val="24"/>
              </w:rPr>
              <w:t>63</w:t>
            </w:r>
            <w:r>
              <w:rPr>
                <w:sz w:val="24"/>
              </w:rPr>
              <w:t>号</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4.</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合同履行</w:t>
            </w:r>
          </w:p>
          <w:p>
            <w:pPr>
              <w:pStyle w:val="null3"/>
              <w:jc w:val="center"/>
            </w:pPr>
            <w:r>
              <w:rPr>
                <w:sz w:val="24"/>
                <w:b/>
              </w:rPr>
              <w:t>期限</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sz w:val="24"/>
              </w:rPr>
              <w:t>自签订合同之日起</w:t>
            </w:r>
            <w:r>
              <w:rPr>
                <w:sz w:val="24"/>
              </w:rPr>
              <w:t>12</w:t>
            </w:r>
            <w:r>
              <w:rPr>
                <w:sz w:val="24"/>
              </w:rPr>
              <w:t>个月内系统开发</w:t>
            </w:r>
            <w:r>
              <w:rPr>
                <w:sz w:val="24"/>
              </w:rPr>
              <w:t>、</w:t>
            </w:r>
            <w:r>
              <w:rPr>
                <w:sz w:val="24"/>
              </w:rPr>
              <w:t>部署</w:t>
            </w:r>
            <w:r>
              <w:rPr>
                <w:sz w:val="24"/>
              </w:rPr>
              <w:t>、</w:t>
            </w:r>
            <w:r>
              <w:rPr>
                <w:sz w:val="24"/>
              </w:rPr>
              <w:t>调试完毕并</w:t>
            </w:r>
            <w:r>
              <w:rPr>
                <w:sz w:val="24"/>
              </w:rPr>
              <w:t>交付上线运行</w:t>
            </w:r>
            <w:r>
              <w:rPr>
                <w:sz w:val="24"/>
              </w:rPr>
              <w:t>。</w:t>
            </w:r>
            <w:r>
              <w:rPr>
                <w:sz w:val="24"/>
              </w:rPr>
              <w:t>系统上线稳定运行</w:t>
            </w:r>
            <w:r>
              <w:rPr>
                <w:sz w:val="24"/>
              </w:rPr>
              <w:t>一个月</w:t>
            </w:r>
            <w:r>
              <w:rPr>
                <w:sz w:val="24"/>
              </w:rPr>
              <w:t>且满足系统整体可用性不低于</w:t>
            </w:r>
            <w:r>
              <w:rPr>
                <w:sz w:val="24"/>
              </w:rPr>
              <w:t>99.5%</w:t>
            </w:r>
            <w:r>
              <w:rPr>
                <w:sz w:val="24"/>
              </w:rPr>
              <w:t>后</w:t>
            </w:r>
            <w:r>
              <w:rPr>
                <w:sz w:val="24"/>
              </w:rPr>
              <w:t>甲方</w:t>
            </w:r>
            <w:r>
              <w:rPr>
                <w:sz w:val="24"/>
              </w:rPr>
              <w:t>通过初步验收</w:t>
            </w:r>
            <w:r>
              <w:rPr>
                <w:sz w:val="24"/>
              </w:rPr>
              <w:t>。系统运维服务期一年，自初步验收合格之日起算。</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5.</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合同签订方式及情况</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sz w:val="24"/>
              </w:rPr>
              <w:t>☑ 一次性签订本项目采购合同。</w:t>
            </w:r>
          </w:p>
          <w:p>
            <w:pPr>
              <w:pStyle w:val="null3"/>
              <w:jc w:val="both"/>
            </w:pPr>
            <w:r>
              <w:rPr>
                <w:sz w:val="24"/>
              </w:rPr>
              <w:t>□ 本项目分次签订合同，每次合同服务期为一年。本次情况如下：</w:t>
            </w:r>
          </w:p>
          <w:p>
            <w:pPr>
              <w:pStyle w:val="null3"/>
              <w:jc w:val="both"/>
            </w:pPr>
            <w:r>
              <w:rPr>
                <w:sz w:val="24"/>
              </w:rPr>
              <w:t>（</w:t>
            </w:r>
            <w:r>
              <w:rPr>
                <w:sz w:val="24"/>
              </w:rPr>
              <w:t>1</w:t>
            </w:r>
            <w:r>
              <w:rPr>
                <w:sz w:val="24"/>
              </w:rPr>
              <w:t>）本次签订为第 次；</w:t>
            </w:r>
          </w:p>
          <w:p>
            <w:pPr>
              <w:pStyle w:val="null3"/>
              <w:jc w:val="both"/>
            </w:pPr>
            <w:r>
              <w:rPr>
                <w:sz w:val="24"/>
              </w:rPr>
              <w:t>（</w:t>
            </w:r>
            <w:r>
              <w:rPr>
                <w:sz w:val="24"/>
              </w:rPr>
              <w:t>2</w:t>
            </w:r>
            <w:r>
              <w:rPr>
                <w:sz w:val="24"/>
              </w:rPr>
              <w:t>）本次合同金额为（大写）：元，</w:t>
            </w:r>
            <w:r>
              <w:rPr>
                <w:sz w:val="24"/>
                <w:u w:val="single"/>
              </w:rPr>
              <w:t>（￥</w:t>
            </w:r>
            <w:r>
              <w:rPr>
                <w:sz w:val="24"/>
                <w:u w:val="single"/>
              </w:rPr>
              <w:t xml:space="preserve">   </w:t>
            </w:r>
            <w:r>
              <w:rPr>
                <w:sz w:val="24"/>
                <w:u w:val="single"/>
              </w:rPr>
              <w:t>元）；</w:t>
            </w:r>
          </w:p>
          <w:p>
            <w:pPr>
              <w:pStyle w:val="null3"/>
              <w:jc w:val="both"/>
            </w:pPr>
            <w:r>
              <w:rPr>
                <w:sz w:val="24"/>
              </w:rPr>
              <w:t>（</w:t>
            </w:r>
            <w:r>
              <w:rPr>
                <w:sz w:val="24"/>
              </w:rPr>
              <w:t>3</w:t>
            </w:r>
            <w:r>
              <w:rPr>
                <w:sz w:val="24"/>
              </w:rPr>
              <w:t>）本次服务期起止时间：  年 月日至 年 月 日</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6.</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付款方式</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sz w:val="24"/>
              </w:rPr>
              <w:t>1</w:t>
            </w:r>
            <w:r>
              <w:rPr>
                <w:sz w:val="24"/>
              </w:rPr>
              <w:t>期：支付比例</w:t>
            </w:r>
            <w:r>
              <w:rPr>
                <w:sz w:val="24"/>
              </w:rPr>
              <w:t>30%,</w:t>
            </w:r>
            <w:r>
              <w:rPr>
                <w:sz w:val="24"/>
              </w:rPr>
              <w:t>合同签订后，乙方向甲方提供合同，甲方向乙方支付合同金额的</w:t>
            </w:r>
            <w:r>
              <w:rPr>
                <w:sz w:val="24"/>
              </w:rPr>
              <w:t>30%</w:t>
            </w:r>
            <w:r>
              <w:rPr>
                <w:sz w:val="24"/>
              </w:rPr>
              <w:t>作为预付款。</w:t>
            </w:r>
          </w:p>
          <w:p>
            <w:pPr>
              <w:pStyle w:val="null3"/>
              <w:jc w:val="both"/>
            </w:pPr>
            <w:r>
              <w:rPr>
                <w:sz w:val="24"/>
              </w:rPr>
              <w:t>2</w:t>
            </w:r>
            <w:r>
              <w:rPr>
                <w:sz w:val="24"/>
              </w:rPr>
              <w:t>期：支付比例</w:t>
            </w:r>
            <w:r>
              <w:rPr>
                <w:sz w:val="24"/>
              </w:rPr>
              <w:t>10</w:t>
            </w:r>
            <w:r>
              <w:rPr>
                <w:sz w:val="24"/>
              </w:rPr>
              <w:t>%,</w:t>
            </w:r>
            <w:r>
              <w:rPr>
                <w:sz w:val="24"/>
              </w:rPr>
              <w:t>乙方进场实施两个月后，</w:t>
            </w:r>
            <w:r>
              <w:rPr>
                <w:sz w:val="24"/>
              </w:rPr>
              <w:t>《项目实施方案》经</w:t>
            </w:r>
            <w:r>
              <w:rPr>
                <w:sz w:val="24"/>
              </w:rPr>
              <w:t>甲方</w:t>
            </w:r>
            <w:r>
              <w:rPr>
                <w:sz w:val="24"/>
              </w:rPr>
              <w:t>确认并且核心平台（可信中枢）的基础架构部署（包括基础运行环境搭建、数据接入及基础服务框架部署）完成后，</w:t>
            </w:r>
            <w:r>
              <w:rPr>
                <w:sz w:val="24"/>
              </w:rPr>
              <w:t>向甲方提供项目实施情况报告和进场人员明细表，甲方审核后向乙方支付合同金额的</w:t>
            </w:r>
            <w:r>
              <w:rPr>
                <w:sz w:val="24"/>
              </w:rPr>
              <w:t>10</w:t>
            </w:r>
            <w:r>
              <w:rPr>
                <w:sz w:val="24"/>
              </w:rPr>
              <w:t>%</w:t>
            </w:r>
            <w:r>
              <w:rPr>
                <w:sz w:val="24"/>
              </w:rPr>
              <w:t>。</w:t>
            </w:r>
          </w:p>
          <w:p>
            <w:pPr>
              <w:pStyle w:val="null3"/>
              <w:jc w:val="both"/>
            </w:pPr>
            <w:r>
              <w:rPr>
                <w:sz w:val="24"/>
              </w:rPr>
              <w:t>3</w:t>
            </w:r>
            <w:r>
              <w:rPr>
                <w:sz w:val="24"/>
              </w:rPr>
              <w:t>期：支付比例</w:t>
            </w:r>
            <w:r>
              <w:rPr>
                <w:sz w:val="24"/>
              </w:rPr>
              <w:t>15</w:t>
            </w:r>
            <w:r>
              <w:rPr>
                <w:sz w:val="24"/>
              </w:rPr>
              <w:t>%,</w:t>
            </w:r>
            <w:r>
              <w:rPr>
                <w:sz w:val="24"/>
              </w:rPr>
              <w:t>在相关系统正式上线并完成对应源码及文档交付后，乙方凭中枢平台与集成治理能力验收合格单，甲方向乙方支付合同金额的</w:t>
            </w:r>
            <w:r>
              <w:rPr>
                <w:sz w:val="24"/>
              </w:rPr>
              <w:t>5</w:t>
            </w:r>
            <w:r>
              <w:rPr>
                <w:sz w:val="24"/>
              </w:rPr>
              <w:t>%</w:t>
            </w:r>
            <w:r>
              <w:rPr>
                <w:sz w:val="24"/>
              </w:rPr>
              <w:t>；乙方凭数据治理与数据能力验收合格单，甲方向乙方支付合同金额的</w:t>
            </w:r>
            <w:r>
              <w:rPr>
                <w:sz w:val="24"/>
              </w:rPr>
              <w:t>5</w:t>
            </w:r>
            <w:r>
              <w:rPr>
                <w:sz w:val="24"/>
              </w:rPr>
              <w:t>%</w:t>
            </w:r>
            <w:r>
              <w:rPr>
                <w:sz w:val="24"/>
              </w:rPr>
              <w:t>；乙方凭智慧大脑与智能服务验收合格单，甲方向乙方支付合同金额的</w:t>
            </w:r>
            <w:r>
              <w:rPr>
                <w:sz w:val="24"/>
              </w:rPr>
              <w:t>5</w:t>
            </w:r>
            <w:r>
              <w:rPr>
                <w:sz w:val="24"/>
              </w:rPr>
              <w:t>%</w:t>
            </w:r>
            <w:r>
              <w:rPr>
                <w:sz w:val="24"/>
              </w:rPr>
              <w:t>。</w:t>
            </w:r>
          </w:p>
          <w:p>
            <w:pPr>
              <w:pStyle w:val="null3"/>
              <w:jc w:val="both"/>
            </w:pPr>
            <w:r>
              <w:rPr>
                <w:sz w:val="24"/>
              </w:rPr>
              <w:t>4</w:t>
            </w:r>
            <w:r>
              <w:rPr>
                <w:sz w:val="24"/>
              </w:rPr>
              <w:t>期：支付比例</w:t>
            </w:r>
            <w:r>
              <w:rPr>
                <w:sz w:val="24"/>
              </w:rPr>
              <w:t>2</w:t>
            </w:r>
            <w:r>
              <w:rPr>
                <w:sz w:val="24"/>
              </w:rPr>
              <w:t>5%,</w:t>
            </w:r>
            <w:r>
              <w:rPr>
                <w:sz w:val="24"/>
              </w:rPr>
              <w:t>当第</w:t>
            </w:r>
            <w:r>
              <w:rPr>
                <w:sz w:val="24"/>
              </w:rPr>
              <w:t>3</w:t>
            </w:r>
            <w:r>
              <w:rPr>
                <w:sz w:val="24"/>
              </w:rPr>
              <w:t>期中的各项验收均通过且乙方的系统正式上线运行一个月后进行项目初步验收，</w:t>
            </w:r>
            <w:r>
              <w:rPr>
                <w:sz w:val="24"/>
              </w:rPr>
              <w:t>项目通过</w:t>
            </w:r>
            <w:r>
              <w:rPr>
                <w:sz w:val="24"/>
              </w:rPr>
              <w:t>初步验收后</w:t>
            </w:r>
            <w:r>
              <w:rPr>
                <w:sz w:val="24"/>
              </w:rPr>
              <w:t>，</w:t>
            </w:r>
            <w:r>
              <w:rPr>
                <w:sz w:val="24"/>
              </w:rPr>
              <w:t>系统</w:t>
            </w:r>
            <w:r>
              <w:rPr>
                <w:sz w:val="24"/>
              </w:rPr>
              <w:t>持续</w:t>
            </w:r>
            <w:r>
              <w:rPr>
                <w:sz w:val="24"/>
              </w:rPr>
              <w:t>上线运行，且</w:t>
            </w:r>
            <w:r>
              <w:rPr>
                <w:sz w:val="24"/>
              </w:rPr>
              <w:t>乙方</w:t>
            </w:r>
            <w:r>
              <w:rPr>
                <w:sz w:val="24"/>
              </w:rPr>
              <w:t>向</w:t>
            </w:r>
            <w:r>
              <w:rPr>
                <w:sz w:val="24"/>
              </w:rPr>
              <w:t>甲方</w:t>
            </w:r>
            <w:r>
              <w:rPr>
                <w:sz w:val="24"/>
              </w:rPr>
              <w:t>完成全部约定源码及核心文档交付后，</w:t>
            </w:r>
            <w:r>
              <w:rPr>
                <w:sz w:val="24"/>
              </w:rPr>
              <w:t>甲方向乙方支付合同金额的</w:t>
            </w:r>
            <w:r>
              <w:rPr>
                <w:sz w:val="24"/>
              </w:rPr>
              <w:t>2</w:t>
            </w:r>
            <w:r>
              <w:rPr>
                <w:sz w:val="24"/>
              </w:rPr>
              <w:t>5%</w:t>
            </w:r>
            <w:r>
              <w:rPr>
                <w:sz w:val="24"/>
              </w:rPr>
              <w:t>。</w:t>
            </w:r>
          </w:p>
          <w:p>
            <w:pPr>
              <w:pStyle w:val="null3"/>
              <w:jc w:val="both"/>
            </w:pPr>
            <w:r>
              <w:rPr>
                <w:sz w:val="24"/>
              </w:rPr>
              <w:t>5</w:t>
            </w:r>
            <w:r>
              <w:rPr>
                <w:sz w:val="24"/>
              </w:rPr>
              <w:t>期：支付比例</w:t>
            </w:r>
            <w:r>
              <w:rPr>
                <w:sz w:val="24"/>
              </w:rPr>
              <w:t>2</w:t>
            </w:r>
            <w:r>
              <w:rPr>
                <w:sz w:val="24"/>
              </w:rPr>
              <w:t>0%,</w:t>
            </w:r>
            <w:r>
              <w:rPr>
                <w:sz w:val="24"/>
              </w:rPr>
              <w:t>系统运维服务满</w:t>
            </w:r>
            <w:r>
              <w:rPr>
                <w:sz w:val="24"/>
              </w:rPr>
              <w:t>1</w:t>
            </w:r>
            <w:r>
              <w:rPr>
                <w:sz w:val="24"/>
              </w:rPr>
              <w:t>年后，乙方向甲方提供该年度运维服务质量考核表、平台稳定运行与能力验收合格单、最终验收报告，甲方审核后向乙方支付合同金额的</w:t>
            </w:r>
            <w:r>
              <w:rPr>
                <w:sz w:val="24"/>
              </w:rPr>
              <w:t>2</w:t>
            </w:r>
            <w:r>
              <w:rPr>
                <w:sz w:val="24"/>
              </w:rPr>
              <w:t>0%</w:t>
            </w:r>
            <w:r>
              <w:rPr>
                <w:sz w:val="24"/>
              </w:rPr>
              <w:t>。</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7.</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付款要求</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both"/>
            </w:pPr>
            <w:r>
              <w:rPr>
                <w:sz w:val="24"/>
              </w:rPr>
              <w:t>（</w:t>
            </w:r>
            <w:r>
              <w:rPr>
                <w:sz w:val="24"/>
              </w:rPr>
              <w:t>1</w:t>
            </w:r>
            <w:r>
              <w:rPr>
                <w:sz w:val="24"/>
              </w:rPr>
              <w:t>）每期款项需经甲方确认后进行支付。（</w:t>
            </w:r>
            <w:r>
              <w:rPr>
                <w:sz w:val="24"/>
              </w:rPr>
              <w:t>2</w:t>
            </w:r>
            <w:r>
              <w:rPr>
                <w:sz w:val="24"/>
              </w:rPr>
              <w:t>）本项目合同的每笔款项以人民币支票或银行汇款方式支付，根据项目实施进度及验收情况，甲方按上述节点支付对应款项。甲方每次付款前，乙方必须出具合规的等额增值税发票等凭证资料。如发生考核扣罚或违约金，甲方有权在上述支付款项中扣除相应金额后再支付。（</w:t>
            </w:r>
            <w:r>
              <w:rPr>
                <w:sz w:val="24"/>
              </w:rPr>
              <w:t>3</w:t>
            </w:r>
            <w:r>
              <w:rPr>
                <w:sz w:val="24"/>
              </w:rPr>
              <w:t>）收款方、出具发票方、合同乙方均必须与中标供应商名称一致。</w:t>
            </w:r>
          </w:p>
          <w:p>
            <w:pPr>
              <w:pStyle w:val="null3"/>
              <w:jc w:val="both"/>
            </w:pPr>
            <w:r>
              <w:rPr>
                <w:sz w:val="24"/>
              </w:rPr>
              <w:t>如项目发生合同融资，采购人需将合同款项支付到合同约定收款账户</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8.</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履约保证金</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pPr>
            <w:r>
              <w:rPr>
                <w:sz w:val="24"/>
              </w:rPr>
              <w:t>交纳比例：</w:t>
            </w:r>
            <w:r>
              <w:rPr>
                <w:sz w:val="24"/>
              </w:rPr>
              <w:t>1%</w:t>
            </w:r>
          </w:p>
          <w:p>
            <w:pPr>
              <w:pStyle w:val="null3"/>
            </w:pPr>
            <w:r>
              <w:rPr>
                <w:sz w:val="24"/>
              </w:rPr>
              <w:t>缴费渠道：电子保函（保险）、支票（本票、汇票）、其他</w:t>
            </w:r>
          </w:p>
          <w:p>
            <w:pPr>
              <w:pStyle w:val="null3"/>
            </w:pPr>
            <w:r>
              <w:rPr>
                <w:sz w:val="24"/>
              </w:rPr>
              <w:t>账号：</w:t>
            </w:r>
            <w:r>
              <w:rPr>
                <w:sz w:val="24"/>
              </w:rPr>
              <w:t>695173644709</w:t>
            </w:r>
          </w:p>
          <w:p>
            <w:pPr>
              <w:pStyle w:val="null3"/>
            </w:pPr>
            <w:r>
              <w:rPr>
                <w:sz w:val="24"/>
              </w:rPr>
              <w:t>户名：佛山大学附属第三医院</w:t>
            </w:r>
          </w:p>
          <w:p>
            <w:pPr>
              <w:pStyle w:val="null3"/>
            </w:pPr>
            <w:r>
              <w:rPr>
                <w:sz w:val="24"/>
              </w:rPr>
              <w:t>开户行：中国银行大沥支行</w:t>
            </w:r>
          </w:p>
          <w:p>
            <w:pPr>
              <w:pStyle w:val="null3"/>
            </w:pPr>
            <w:r>
              <w:rPr>
                <w:sz w:val="24"/>
              </w:rPr>
              <w:t>支票提交方式：票据方式提交</w:t>
            </w:r>
          </w:p>
          <w:p>
            <w:pPr>
              <w:pStyle w:val="null3"/>
            </w:pPr>
            <w:r>
              <w:rPr>
                <w:sz w:val="24"/>
              </w:rPr>
              <w:t>汇票、本票提交方式：票据方式提交</w:t>
            </w:r>
          </w:p>
          <w:p>
            <w:pPr>
              <w:pStyle w:val="null3"/>
            </w:pPr>
            <w:r>
              <w:rPr>
                <w:sz w:val="24"/>
              </w:rPr>
              <w:t>说明：（</w:t>
            </w:r>
            <w:r>
              <w:rPr>
                <w:sz w:val="24"/>
              </w:rPr>
              <w:t>1</w:t>
            </w:r>
            <w:r>
              <w:rPr>
                <w:sz w:val="24"/>
              </w:rPr>
              <w:t>）提交时限：乙方于合同签订后</w:t>
            </w:r>
            <w:r>
              <w:rPr>
                <w:sz w:val="24"/>
              </w:rPr>
              <w:t>7</w:t>
            </w:r>
            <w:r>
              <w:rPr>
                <w:sz w:val="24"/>
              </w:rPr>
              <w:t>个工作日内以支票、汇票、本票、银行转账或者金融机构、担保机构出具的保函等非现金形式向甲方提交中标金额的</w:t>
            </w:r>
            <w:r>
              <w:rPr>
                <w:sz w:val="24"/>
              </w:rPr>
              <w:t>1%</w:t>
            </w:r>
            <w:r>
              <w:rPr>
                <w:sz w:val="24"/>
              </w:rPr>
              <w:t>作为履约保证金。 （</w:t>
            </w:r>
            <w:r>
              <w:rPr>
                <w:sz w:val="24"/>
              </w:rPr>
              <w:t>2</w:t>
            </w:r>
            <w:r>
              <w:rPr>
                <w:sz w:val="24"/>
              </w:rPr>
              <w:t>）有效期：履约保证金于合同期满后十五个工作日内甲方将没被扣罚的履约保证金无息退还乙方；以履约保函形式提交的，担保责任终止。合同因乙方原因产生违约，导致合同无法继续履行的情况，履约保证金不予退还。（</w:t>
            </w:r>
            <w:r>
              <w:rPr>
                <w:sz w:val="24"/>
              </w:rPr>
              <w:t>3</w:t>
            </w:r>
            <w:r>
              <w:rPr>
                <w:sz w:val="24"/>
              </w:rPr>
              <w:t>）履约保证金以保函形式递交的，被全部扣除履约保证金或合同期间保函失效的，乙方须于发生当日起</w:t>
            </w:r>
            <w:r>
              <w:rPr>
                <w:sz w:val="24"/>
              </w:rPr>
              <w:t>3</w:t>
            </w:r>
            <w:r>
              <w:rPr>
                <w:sz w:val="24"/>
              </w:rPr>
              <w:t>个工作日内重新开具保函并提交给甲方，且履约保函的有效期须涵盖至本项目合同约定的全部权利义务事项履行完毕为止。（</w:t>
            </w:r>
            <w:r>
              <w:rPr>
                <w:sz w:val="24"/>
              </w:rPr>
              <w:t>4</w:t>
            </w:r>
            <w:r>
              <w:rPr>
                <w:sz w:val="24"/>
              </w:rPr>
              <w:t>）如乙方选择以支票、汇票、本票等非现金形式提交履约保证金的，须于政府采购合同签订时与甲方签订补充协议明确相关账号、户名、开户行、支票或汇票或本票的提交方式。（</w:t>
            </w:r>
            <w:r>
              <w:rPr>
                <w:sz w:val="24"/>
              </w:rPr>
              <w:t>5</w:t>
            </w:r>
            <w:r>
              <w:rPr>
                <w:sz w:val="24"/>
              </w:rPr>
              <w:t>）乙方派驻人员应该严格按照规定认真履行职责，对乙方的工作人员违反管理规定，造成甲方严重损失的</w:t>
            </w:r>
            <w:r>
              <w:rPr>
                <w:sz w:val="24"/>
              </w:rPr>
              <w:t>(</w:t>
            </w:r>
            <w:r>
              <w:rPr>
                <w:sz w:val="24"/>
              </w:rPr>
              <w:t>损失金额超过</w:t>
            </w:r>
            <w:r>
              <w:rPr>
                <w:sz w:val="24"/>
              </w:rPr>
              <w:t xml:space="preserve">10 </w:t>
            </w:r>
            <w:r>
              <w:rPr>
                <w:sz w:val="24"/>
              </w:rPr>
              <w:t>万元或者造成严重社会影响的</w:t>
            </w:r>
            <w:r>
              <w:rPr>
                <w:sz w:val="24"/>
              </w:rPr>
              <w:t>)</w:t>
            </w:r>
            <w:r>
              <w:rPr>
                <w:sz w:val="24"/>
              </w:rPr>
              <w:t>，或乙方擅自提前解除合同的，甲方有权全部扣除履约保证金。乙方在服务期内若由于自身原因不能为甲方提供正常服务的，甲方有权委托他人提供，但费用由乙方负责，且甲方有权在乙方的履约保证金中扣除。乙方须在甲方扣除后的十个工作日内向甲方补足扣除金额或另行提交与被扣除保证金相当金额的履约保函，超过期限，甲方有权从当月的服务费中扣回。注：上述保函是指不可撤销、不可转让的见索即付独立保函。</w:t>
            </w:r>
          </w:p>
          <w:p>
            <w:pPr>
              <w:pStyle w:val="null3"/>
              <w:jc w:val="left"/>
            </w:pPr>
            <w:r>
              <w:rPr>
                <w:sz w:val="24"/>
              </w:rPr>
              <w:t xml:space="preserve"> </w:t>
            </w:r>
            <w:r>
              <w:rPr>
                <w:sz w:val="24"/>
              </w:rPr>
              <w:t>履约保证金可以以履约保函（保险）形式提供，目前</w:t>
            </w:r>
            <w:r>
              <w:rPr>
                <w:sz w:val="24"/>
              </w:rPr>
              <w:t>"</w:t>
            </w:r>
            <w:r>
              <w:rPr>
                <w:sz w:val="24"/>
              </w:rPr>
              <w:t>广东政府采购智慧云平台金融服务中心</w:t>
            </w:r>
            <w:r>
              <w:rPr>
                <w:sz w:val="24"/>
              </w:rPr>
              <w:t>(https://gdgpo.czt.gd.gov.cn/zcdservice/zcd/guangdong/)</w:t>
            </w:r>
            <w:r>
              <w:rPr>
                <w:sz w:val="24"/>
              </w:rPr>
              <w:t>已实现电子履约保函（保险）在线办理功能，有意愿供应商可自行办理提供。</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9.</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服务质量要求</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sz w:val="24"/>
              </w:rPr>
              <w:t>2.1</w:t>
            </w:r>
            <w:r>
              <w:rPr>
                <w:sz w:val="24"/>
              </w:rPr>
              <w:t xml:space="preserve">系统运维服务期 自初步验收合格之日起一年。 </w:t>
            </w:r>
            <w:r>
              <w:rPr>
                <w:sz w:val="24"/>
              </w:rPr>
              <w:t>2.2</w:t>
            </w:r>
            <w:r>
              <w:rPr>
                <w:sz w:val="24"/>
              </w:rPr>
              <w:t>故障响应 在接到甲方的服务要求通知后，</w:t>
            </w:r>
            <w:r>
              <w:rPr>
                <w:sz w:val="24"/>
              </w:rPr>
              <w:t>10</w:t>
            </w:r>
            <w:r>
              <w:rPr>
                <w:sz w:val="24"/>
              </w:rPr>
              <w:t>分钟内给予甲方明确答复，售后服务人员将在</w:t>
            </w:r>
            <w:r>
              <w:rPr>
                <w:sz w:val="24"/>
              </w:rPr>
              <w:t>2</w:t>
            </w:r>
            <w:r>
              <w:rPr>
                <w:sz w:val="24"/>
              </w:rPr>
              <w:t>小时内进行在线和远程技术支持。一般问题</w:t>
            </w:r>
            <w:r>
              <w:rPr>
                <w:sz w:val="24"/>
              </w:rPr>
              <w:t>2</w:t>
            </w:r>
            <w:r>
              <w:rPr>
                <w:sz w:val="24"/>
              </w:rPr>
              <w:t>小时内解决；较大问题在</w:t>
            </w:r>
            <w:r>
              <w:rPr>
                <w:sz w:val="24"/>
              </w:rPr>
              <w:t>4</w:t>
            </w:r>
            <w:r>
              <w:rPr>
                <w:sz w:val="24"/>
              </w:rPr>
              <w:t>小时以内解决；重大问题</w:t>
            </w:r>
            <w:r>
              <w:rPr>
                <w:sz w:val="24"/>
              </w:rPr>
              <w:t>4</w:t>
            </w:r>
            <w:r>
              <w:rPr>
                <w:sz w:val="24"/>
              </w:rPr>
              <w:t>小时内提出解决方案，并在</w:t>
            </w:r>
            <w:r>
              <w:rPr>
                <w:sz w:val="24"/>
              </w:rPr>
              <w:t>24</w:t>
            </w:r>
            <w:r>
              <w:rPr>
                <w:sz w:val="24"/>
              </w:rPr>
              <w:t xml:space="preserve">小时内解决。 </w:t>
            </w:r>
            <w:r>
              <w:rPr>
                <w:sz w:val="24"/>
              </w:rPr>
              <w:t>2.3</w:t>
            </w:r>
            <w:r>
              <w:rPr>
                <w:sz w:val="24"/>
              </w:rPr>
              <w:t>运维服务：每</w:t>
            </w:r>
            <w:r>
              <w:rPr>
                <w:sz w:val="24"/>
              </w:rPr>
              <w:t>6</w:t>
            </w:r>
            <w:r>
              <w:rPr>
                <w:sz w:val="24"/>
              </w:rPr>
              <w:t>个月提供一次上门运维巡检服务，巡检内容包括对本项目所涉及的系统设备进行巡检，形成巡检报告，保证系统运行正常。</w:t>
            </w:r>
            <w:r>
              <w:rPr>
                <w:sz w:val="24"/>
              </w:rPr>
              <w:t>2.4</w:t>
            </w:r>
            <w:r>
              <w:rPr>
                <w:sz w:val="24"/>
              </w:rPr>
              <w:t>技术培训 乙方应根据项目实施进度及系统上线安排，向甲方提供系统化、分阶段的技术培训服务，包括但不限于操作培训、面对面培训、保养培训和维修培训。培训应至少满足以下要求：（</w:t>
            </w:r>
            <w:r>
              <w:rPr>
                <w:sz w:val="24"/>
              </w:rPr>
              <w:t>1</w:t>
            </w:r>
            <w:r>
              <w:rPr>
                <w:sz w:val="24"/>
              </w:rPr>
              <w:t xml:space="preserve">）培训频次要求：项目实施期内不少于 </w:t>
            </w:r>
            <w:r>
              <w:rPr>
                <w:sz w:val="24"/>
              </w:rPr>
              <w:t>2</w:t>
            </w:r>
            <w:r>
              <w:rPr>
                <w:sz w:val="24"/>
              </w:rPr>
              <w:t xml:space="preserve">次集中培训；系统上线前不少于 </w:t>
            </w:r>
            <w:r>
              <w:rPr>
                <w:sz w:val="24"/>
              </w:rPr>
              <w:t>1</w:t>
            </w:r>
            <w:r>
              <w:rPr>
                <w:sz w:val="24"/>
              </w:rPr>
              <w:t xml:space="preserve">次上线专项培训；试运行及运维期内不少于 </w:t>
            </w:r>
            <w:r>
              <w:rPr>
                <w:sz w:val="24"/>
              </w:rPr>
              <w:t>1</w:t>
            </w:r>
            <w:r>
              <w:rPr>
                <w:sz w:val="24"/>
              </w:rPr>
              <w:t>次巩固或提升培训；（</w:t>
            </w:r>
            <w:r>
              <w:rPr>
                <w:sz w:val="24"/>
              </w:rPr>
              <w:t>2</w:t>
            </w:r>
            <w:r>
              <w:rPr>
                <w:sz w:val="24"/>
              </w:rPr>
              <w:t>）培训对象分类：面向业务人员（医生、护士、管理人员）的系统操作培训；面向技术人员的系统运维、配置管理及故障处理培；面向管理人员的数据应用及能力使用培训；（</w:t>
            </w:r>
            <w:r>
              <w:rPr>
                <w:sz w:val="24"/>
              </w:rPr>
              <w:t>3</w:t>
            </w:r>
            <w:r>
              <w:rPr>
                <w:sz w:val="24"/>
              </w:rPr>
              <w:t>）培训形式要求：应包括现场集中培训、必要的分角色培训及交流答疑；（</w:t>
            </w:r>
            <w:r>
              <w:rPr>
                <w:sz w:val="24"/>
              </w:rPr>
              <w:t>4</w:t>
            </w:r>
            <w:r>
              <w:rPr>
                <w:sz w:val="24"/>
              </w:rPr>
              <w:t>）培训成果要求：每次培训应形成培训签到记录、培训材料及培训总结；应提供完整的培训资料（</w:t>
            </w:r>
            <w:r>
              <w:rPr>
                <w:sz w:val="24"/>
              </w:rPr>
              <w:t>PPT</w:t>
            </w:r>
            <w:r>
              <w:rPr>
                <w:sz w:val="24"/>
              </w:rPr>
              <w:t xml:space="preserve">、操作手册或视频等）；  </w:t>
            </w:r>
            <w:r>
              <w:rPr>
                <w:sz w:val="24"/>
              </w:rPr>
              <w:t>2.5</w:t>
            </w:r>
            <w:r>
              <w:rPr>
                <w:sz w:val="24"/>
              </w:rPr>
              <w:t>信息安全保证 （</w:t>
            </w:r>
            <w:r>
              <w:rPr>
                <w:sz w:val="24"/>
              </w:rPr>
              <w:t>1</w:t>
            </w:r>
            <w:r>
              <w:rPr>
                <w:sz w:val="24"/>
              </w:rPr>
              <w:t>）系统符合国家相关部门关于信息安全等级保护相关要求，提供相关材料。系统的安全性和保密性必须严格遵循相关信息安全标准，切实保证在系统使用的各个环节均能最大限度保障信息安全，杜绝各类漏洞及错误的出现。 （</w:t>
            </w:r>
            <w:r>
              <w:rPr>
                <w:sz w:val="24"/>
              </w:rPr>
              <w:t>2</w:t>
            </w:r>
            <w:r>
              <w:rPr>
                <w:sz w:val="24"/>
              </w:rPr>
              <w:t>）系统安全、应用、运维同步设计、同步建设、同步应用、同步验收，系统整体方案必须确保系统安全可靠，满足甲方</w:t>
            </w:r>
            <w:r>
              <w:rPr>
                <w:sz w:val="24"/>
              </w:rPr>
              <w:t>7*24</w:t>
            </w:r>
            <w:r>
              <w:rPr>
                <w:sz w:val="24"/>
              </w:rPr>
              <w:t>小时运行要求。</w:t>
            </w:r>
            <w:r>
              <w:rPr>
                <w:sz w:val="24"/>
              </w:rPr>
              <w:t>2.6</w:t>
            </w:r>
            <w:r>
              <w:rPr>
                <w:sz w:val="24"/>
              </w:rPr>
              <w:t>乙方需提供全面的运维服务，包括但不限于系统日常运行监控、定期巡检、性能优化、数据备份与恢复等，确保系统持续稳定、高效运行。乙方应每</w:t>
            </w:r>
            <w:r>
              <w:rPr>
                <w:sz w:val="24"/>
              </w:rPr>
              <w:t>6</w:t>
            </w:r>
            <w:r>
              <w:rPr>
                <w:sz w:val="24"/>
              </w:rPr>
              <w:t>个月提供系统运行状态报告，并在发生潜在风险时及时预警和处置，保障甲方业务正常开展。</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10.</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项目组织与人员要求</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sz w:val="24"/>
              </w:rPr>
              <w:t>3.1</w:t>
            </w:r>
            <w:r>
              <w:rPr>
                <w:sz w:val="24"/>
              </w:rPr>
              <w:t>乙方需针对此项目组织专门项目团队，指定一名专职的项目经理，负责项目过程管理、各项资源协调和调度等工作。</w:t>
            </w:r>
          </w:p>
          <w:p>
            <w:pPr>
              <w:pStyle w:val="null3"/>
              <w:jc w:val="left"/>
            </w:pPr>
            <w:r>
              <w:rPr>
                <w:sz w:val="24"/>
              </w:rPr>
              <w:t>3.2</w:t>
            </w:r>
            <w:r>
              <w:rPr>
                <w:sz w:val="24"/>
              </w:rPr>
              <w:t>乙方在项目实施期内，须安排项目负责人（项目经理）、技术负责人及至少</w:t>
            </w:r>
            <w:r>
              <w:rPr>
                <w:sz w:val="24"/>
              </w:rPr>
              <w:t>3</w:t>
            </w:r>
            <w:r>
              <w:rPr>
                <w:sz w:val="24"/>
              </w:rPr>
              <w:t>名项目技术人员的核心人员按甲方要求提供现场服务，负责项目现场的沟通、实施、推进、问题处理等协调工作。</w:t>
            </w:r>
          </w:p>
          <w:p>
            <w:pPr>
              <w:pStyle w:val="null3"/>
              <w:jc w:val="left"/>
            </w:pPr>
            <w:r>
              <w:rPr>
                <w:sz w:val="24"/>
              </w:rPr>
              <w:t>3.3</w:t>
            </w:r>
            <w:r>
              <w:rPr>
                <w:sz w:val="24"/>
              </w:rPr>
              <w:t>项目团队必须按照投标文件中的响应人数投入项目的实施，项目组成员应具备投标文件中对应资质，如因成员能力不足，导致项目实施延期或不能达到本项目的要求，乙方应承担相应违约责任。</w:t>
            </w:r>
          </w:p>
          <w:p>
            <w:pPr>
              <w:pStyle w:val="null3"/>
              <w:jc w:val="left"/>
            </w:pPr>
            <w:r>
              <w:rPr>
                <w:sz w:val="24"/>
              </w:rPr>
              <w:t>3.4</w:t>
            </w:r>
            <w:r>
              <w:rPr>
                <w:sz w:val="24"/>
              </w:rPr>
              <w:t>未经甲方书面同意，投标文件中的项目负责人（项目经理）和项目团队人员不得随意更换。</w:t>
            </w:r>
          </w:p>
          <w:p>
            <w:pPr>
              <w:pStyle w:val="null3"/>
              <w:jc w:val="left"/>
            </w:pPr>
            <w:r>
              <w:rPr>
                <w:sz w:val="24"/>
              </w:rPr>
              <w:t>3.5</w:t>
            </w:r>
            <w:r>
              <w:rPr>
                <w:sz w:val="24"/>
              </w:rPr>
              <w:t>甲方有权以书面形式要求乙方更换不能胜任合同履行工作的项目人员。即使是甲方要求或同意更换的人员，其代替人员的资历仍应得到甲方的认可，且其资历和经验均不低于被更换人员。由此而产生的费用由乙方承担。</w:t>
            </w:r>
          </w:p>
          <w:p>
            <w:pPr>
              <w:pStyle w:val="null3"/>
              <w:jc w:val="left"/>
            </w:pPr>
            <w:r>
              <w:rPr>
                <w:sz w:val="24"/>
              </w:rPr>
              <w:t>3.6</w:t>
            </w:r>
            <w:r>
              <w:rPr>
                <w:sz w:val="24"/>
              </w:rPr>
              <w:t>在服务期间内，乙方必须按照有关规定，对本项目所有工作服务人员缴纳各种社会保险和购买人身意外保险。如服务期内乙方与员工发生劳动纠纷，由乙方自行承担全部责任；乙方的服务人员直接或间接的工作失误导致发生的事故</w:t>
            </w:r>
            <w:r>
              <w:rPr>
                <w:sz w:val="24"/>
              </w:rPr>
              <w:t>(</w:t>
            </w:r>
            <w:r>
              <w:rPr>
                <w:sz w:val="24"/>
              </w:rPr>
              <w:t>包括但不限于意外、工伤医疗事故等</w:t>
            </w:r>
            <w:r>
              <w:rPr>
                <w:sz w:val="24"/>
              </w:rPr>
              <w:t>)</w:t>
            </w:r>
            <w:r>
              <w:rPr>
                <w:sz w:val="24"/>
              </w:rPr>
              <w:t>，一切责任由乙方负责。</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11.</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项目文档与交付要求</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sz w:val="24"/>
              </w:rPr>
              <w:t>4.1</w:t>
            </w:r>
            <w:r>
              <w:rPr>
                <w:sz w:val="24"/>
              </w:rPr>
              <w:t>乙方需根据实施进度及时提供相应的过程及成果文档电子文件及纸质版资料至少</w:t>
            </w:r>
            <w:r>
              <w:rPr>
                <w:sz w:val="24"/>
              </w:rPr>
              <w:t>1</w:t>
            </w:r>
            <w:r>
              <w:rPr>
                <w:sz w:val="24"/>
              </w:rPr>
              <w:t>份，包括但不仅限于：</w:t>
            </w:r>
          </w:p>
          <w:p>
            <w:pPr>
              <w:pStyle w:val="null3"/>
              <w:jc w:val="left"/>
            </w:pPr>
            <w:r>
              <w:rPr>
                <w:sz w:val="24"/>
              </w:rPr>
              <w:t>（</w:t>
            </w:r>
            <w:r>
              <w:rPr>
                <w:sz w:val="24"/>
              </w:rPr>
              <w:t>1</w:t>
            </w:r>
            <w:r>
              <w:rPr>
                <w:sz w:val="24"/>
              </w:rPr>
              <w:t>）项目管理文档：《项目实施方案及计划说明书》、《项目组织结构及人员分工说明》、《项目阶段性工作报告》、《项目进度调整或重大事项说明》（如有）、《测试计划》、《试运行计划》等</w:t>
            </w:r>
          </w:p>
          <w:p>
            <w:pPr>
              <w:pStyle w:val="null3"/>
              <w:jc w:val="left"/>
            </w:pPr>
            <w:r>
              <w:rPr>
                <w:sz w:val="24"/>
              </w:rPr>
              <w:t>（</w:t>
            </w:r>
            <w:r>
              <w:rPr>
                <w:sz w:val="24"/>
              </w:rPr>
              <w:t>2</w:t>
            </w:r>
            <w:r>
              <w:rPr>
                <w:sz w:val="24"/>
              </w:rPr>
              <w:t>）技术与平台文档：《系统架构设计说明书》、《系统部署方案与配置文档》、《数据治理流程说明及运行示例》、《模型与智能服务管理运行说明》、《源码交付包》等</w:t>
            </w:r>
          </w:p>
          <w:p>
            <w:pPr>
              <w:pStyle w:val="null3"/>
              <w:jc w:val="left"/>
            </w:pPr>
            <w:r>
              <w:rPr>
                <w:sz w:val="24"/>
              </w:rPr>
              <w:t>（</w:t>
            </w:r>
            <w:r>
              <w:rPr>
                <w:sz w:val="24"/>
              </w:rPr>
              <w:t>3</w:t>
            </w:r>
            <w:r>
              <w:rPr>
                <w:sz w:val="24"/>
              </w:rPr>
              <w:t>）用户使用文档与能力转移资料：《医工协同机制与平台运行管理制度》、《系统用户操作手册》（含医生、护士、管理等多角色）、《系统运维手册》（含故障处理、系统监控、日志排查流程等）、《培训资源包》（含课程资源包、常见问题</w:t>
            </w:r>
            <w:r>
              <w:rPr>
                <w:sz w:val="24"/>
              </w:rPr>
              <w:t>Q&amp;A</w:t>
            </w:r>
            <w:r>
              <w:rPr>
                <w:sz w:val="24"/>
              </w:rPr>
              <w:t>）、《能力目录手册》（含平台可用服务列表、调用方式、权限路径等）</w:t>
            </w:r>
          </w:p>
          <w:p>
            <w:pPr>
              <w:pStyle w:val="null3"/>
            </w:pPr>
            <w:r>
              <w:rPr>
                <w:sz w:val="24"/>
              </w:rPr>
              <w:t>4.2</w:t>
            </w:r>
            <w:r>
              <w:rPr>
                <w:sz w:val="24"/>
              </w:rPr>
              <w:t>项目合同期内乙方需配置相关专业人员配合甲方编制和印发与本项目相关的汇报、宣传等材料，做好相应的宣传工作。</w:t>
            </w:r>
          </w:p>
        </w:tc>
      </w:tr>
      <w:tr>
        <w:tc>
          <w:tcPr>
            <w:tcW w:type="dxa" w:w="568"/>
            <w:tcBorders>
              <w:top w:val="none" w:color="000000" w:sz="4"/>
              <w:left w:val="singl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12.</w:t>
            </w:r>
          </w:p>
        </w:tc>
        <w:tc>
          <w:tcPr>
            <w:tcW w:type="dxa" w:w="120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center"/>
            </w:pPr>
            <w:r>
              <w:rPr>
                <w:sz w:val="24"/>
                <w:b/>
              </w:rPr>
              <w:t>实施规范要求</w:t>
            </w:r>
          </w:p>
        </w:tc>
        <w:tc>
          <w:tcPr>
            <w:tcW w:type="dxa" w:w="6533"/>
            <w:tcBorders>
              <w:top w:val="none" w:color="000000" w:sz="4"/>
              <w:left w:val="none" w:color="000000" w:sz="4"/>
              <w:bottom w:val="single" w:color="000000" w:sz="4"/>
              <w:right w:val="single" w:color="000000" w:sz="4"/>
            </w:tcBorders>
            <w:tcMar>
              <w:top w:type="dxa" w:w="0"/>
              <w:left w:type="dxa" w:w="90"/>
              <w:bottom w:type="dxa" w:w="0"/>
              <w:right w:type="dxa" w:w="90"/>
            </w:tcMar>
            <w:vAlign w:val="top"/>
          </w:tcPr>
          <w:p>
            <w:pPr>
              <w:pStyle w:val="null3"/>
              <w:jc w:val="left"/>
            </w:pPr>
            <w:r>
              <w:rPr>
                <w:sz w:val="24"/>
              </w:rPr>
              <w:t>5.1</w:t>
            </w:r>
            <w:r>
              <w:rPr>
                <w:sz w:val="24"/>
              </w:rPr>
              <w:t>过程管理与监督要求</w:t>
            </w:r>
          </w:p>
          <w:p>
            <w:pPr>
              <w:pStyle w:val="null3"/>
              <w:jc w:val="left"/>
            </w:pPr>
            <w:r>
              <w:rPr>
                <w:sz w:val="24"/>
              </w:rPr>
              <w:t>（</w:t>
            </w:r>
            <w:r>
              <w:rPr>
                <w:sz w:val="24"/>
              </w:rPr>
              <w:t>1</w:t>
            </w:r>
            <w:r>
              <w:rPr>
                <w:sz w:val="24"/>
              </w:rPr>
              <w:t>）乙方须服从甲方对建设过程、建设质量与进度的监督和规范管理，配合甲方及监理单位（如有）的检查与评审。</w:t>
            </w:r>
          </w:p>
          <w:p>
            <w:pPr>
              <w:pStyle w:val="null3"/>
              <w:jc w:val="left"/>
            </w:pPr>
            <w:r>
              <w:rPr>
                <w:sz w:val="24"/>
              </w:rPr>
              <w:t>（</w:t>
            </w:r>
            <w:r>
              <w:rPr>
                <w:sz w:val="24"/>
              </w:rPr>
              <w:t>2</w:t>
            </w:r>
            <w:r>
              <w:rPr>
                <w:sz w:val="24"/>
              </w:rPr>
              <w:t>）乙方应严格遵循甲方发出的工作联系单、监理通知单及其他管理指令（如适用），及时响应并闭环处理。</w:t>
            </w:r>
          </w:p>
          <w:p>
            <w:pPr>
              <w:pStyle w:val="null3"/>
              <w:jc w:val="left"/>
            </w:pPr>
            <w:r>
              <w:rPr>
                <w:sz w:val="24"/>
              </w:rPr>
              <w:t>（</w:t>
            </w:r>
            <w:r>
              <w:rPr>
                <w:sz w:val="24"/>
              </w:rPr>
              <w:t>3</w:t>
            </w:r>
            <w:r>
              <w:rPr>
                <w:sz w:val="24"/>
              </w:rPr>
              <w:t>）正式启动项目前，乙方须提交项目组织结构、项目计划与实施方案报甲方审核，审批通过后方可开工实施。</w:t>
            </w:r>
          </w:p>
          <w:p>
            <w:pPr>
              <w:pStyle w:val="null3"/>
              <w:jc w:val="left"/>
            </w:pPr>
            <w:r>
              <w:rPr>
                <w:sz w:val="24"/>
              </w:rPr>
              <w:t>5.2</w:t>
            </w:r>
            <w:r>
              <w:rPr>
                <w:sz w:val="24"/>
              </w:rPr>
              <w:t>文档评审与按文档实施要求</w:t>
            </w:r>
          </w:p>
          <w:p>
            <w:pPr>
              <w:pStyle w:val="null3"/>
              <w:jc w:val="left"/>
            </w:pPr>
            <w:r>
              <w:rPr>
                <w:sz w:val="24"/>
              </w:rPr>
              <w:t>（</w:t>
            </w:r>
            <w:r>
              <w:rPr>
                <w:sz w:val="24"/>
              </w:rPr>
              <w:t>1</w:t>
            </w:r>
            <w:r>
              <w:rPr>
                <w:sz w:val="24"/>
              </w:rPr>
              <w:t>）按项目阶段与进度要求及时向甲方提交各类项目文档，经评审</w:t>
            </w:r>
            <w:r>
              <w:rPr>
                <w:sz w:val="24"/>
              </w:rPr>
              <w:t>/</w:t>
            </w:r>
            <w:r>
              <w:rPr>
                <w:sz w:val="24"/>
              </w:rPr>
              <w:t>审批通过后按文档执行实施。</w:t>
            </w:r>
          </w:p>
          <w:p>
            <w:pPr>
              <w:pStyle w:val="null3"/>
              <w:jc w:val="left"/>
            </w:pPr>
            <w:r>
              <w:rPr>
                <w:sz w:val="24"/>
              </w:rPr>
              <w:t>（</w:t>
            </w:r>
            <w:r>
              <w:rPr>
                <w:sz w:val="24"/>
              </w:rPr>
              <w:t>2</w:t>
            </w:r>
            <w:r>
              <w:rPr>
                <w:sz w:val="24"/>
              </w:rPr>
              <w:t>）关键配置、接口契约、目录与规则</w:t>
            </w:r>
            <w:r>
              <w:rPr>
                <w:sz w:val="24"/>
              </w:rPr>
              <w:t>/</w:t>
            </w:r>
            <w:r>
              <w:rPr>
                <w:sz w:val="24"/>
              </w:rPr>
              <w:t>映射</w:t>
            </w:r>
            <w:r>
              <w:rPr>
                <w:sz w:val="24"/>
              </w:rPr>
              <w:t>/</w:t>
            </w:r>
            <w:r>
              <w:rPr>
                <w:sz w:val="24"/>
              </w:rPr>
              <w:t>策略变更，应形成变更单与评审记录，并可追溯到版本与生效时间。</w:t>
            </w:r>
          </w:p>
          <w:p>
            <w:pPr>
              <w:pStyle w:val="null3"/>
              <w:jc w:val="left"/>
            </w:pPr>
            <w:r>
              <w:rPr>
                <w:sz w:val="24"/>
              </w:rPr>
              <w:t>（</w:t>
            </w:r>
            <w:r>
              <w:rPr>
                <w:sz w:val="24"/>
              </w:rPr>
              <w:t>3</w:t>
            </w:r>
            <w:r>
              <w:rPr>
                <w:sz w:val="24"/>
              </w:rPr>
              <w:t>）任何影响生产运行的变更必须具备回滚方案，并在必要时完成演练与记录。</w:t>
            </w:r>
          </w:p>
          <w:p>
            <w:pPr>
              <w:pStyle w:val="null3"/>
              <w:jc w:val="left"/>
            </w:pPr>
            <w:r>
              <w:rPr>
                <w:sz w:val="24"/>
              </w:rPr>
              <w:t>5.3</w:t>
            </w:r>
            <w:r>
              <w:rPr>
                <w:sz w:val="24"/>
              </w:rPr>
              <w:t>上线、灰度、并行与回滚要求</w:t>
            </w:r>
          </w:p>
          <w:p>
            <w:pPr>
              <w:pStyle w:val="null3"/>
              <w:jc w:val="left"/>
            </w:pPr>
            <w:r>
              <w:rPr>
                <w:sz w:val="24"/>
              </w:rPr>
              <w:t>（</w:t>
            </w:r>
            <w:r>
              <w:rPr>
                <w:sz w:val="24"/>
              </w:rPr>
              <w:t>1</w:t>
            </w:r>
            <w:r>
              <w:rPr>
                <w:sz w:val="24"/>
              </w:rPr>
              <w:t>）平台与场景服务上线应遵循分阶段、分范围灰度策略；关键能力应支持并行运行与平滑演进，避免一次性切换带来业务风险。</w:t>
            </w:r>
          </w:p>
          <w:p>
            <w:pPr>
              <w:pStyle w:val="null3"/>
              <w:jc w:val="left"/>
            </w:pPr>
            <w:r>
              <w:rPr>
                <w:sz w:val="24"/>
              </w:rPr>
              <w:t>（</w:t>
            </w:r>
            <w:r>
              <w:rPr>
                <w:sz w:val="24"/>
              </w:rPr>
              <w:t>2</w:t>
            </w:r>
            <w:r>
              <w:rPr>
                <w:sz w:val="24"/>
              </w:rPr>
              <w:t>）对涉及高风险闭环（诊疗安全、药事安全、费用结算、监管上报）的能力上线，应设置上线门禁与验收前置条件（含关键链路测试、权限审计、日志追溯、故障演练）。</w:t>
            </w:r>
          </w:p>
          <w:p>
            <w:pPr>
              <w:pStyle w:val="null3"/>
              <w:jc w:val="left"/>
            </w:pPr>
            <w:r>
              <w:rPr>
                <w:sz w:val="24"/>
              </w:rPr>
              <w:t>（</w:t>
            </w:r>
            <w:r>
              <w:rPr>
                <w:sz w:val="24"/>
              </w:rPr>
              <w:t>3</w:t>
            </w:r>
            <w:r>
              <w:rPr>
                <w:sz w:val="24"/>
              </w:rPr>
              <w:t>）灰度期间应提供可观测性报表与问题台账；出现重大风险或故障时，应能按预案快速降级、隔离或回滚，并形成复盘记录。</w:t>
            </w:r>
          </w:p>
          <w:p>
            <w:pPr>
              <w:pStyle w:val="null3"/>
              <w:jc w:val="left"/>
            </w:pPr>
            <w:r>
              <w:rPr>
                <w:sz w:val="24"/>
              </w:rPr>
              <w:t>5.4</w:t>
            </w:r>
            <w:r>
              <w:rPr>
                <w:sz w:val="24"/>
              </w:rPr>
              <w:t>安全与合规实施要求</w:t>
            </w:r>
          </w:p>
          <w:p>
            <w:pPr>
              <w:pStyle w:val="null3"/>
              <w:jc w:val="left"/>
            </w:pPr>
            <w:r>
              <w:rPr>
                <w:sz w:val="24"/>
              </w:rPr>
              <w:t>（</w:t>
            </w:r>
            <w:r>
              <w:rPr>
                <w:sz w:val="24"/>
              </w:rPr>
              <w:t>1</w:t>
            </w:r>
            <w:r>
              <w:rPr>
                <w:sz w:val="24"/>
              </w:rPr>
              <w:t>）实施过程中涉及账号、权限、数据访问与接口调用，须遵循最小权限原则；严禁使用共享账号或绕开审计机制的临时方案。</w:t>
            </w:r>
          </w:p>
          <w:p>
            <w:pPr>
              <w:pStyle w:val="null3"/>
              <w:jc w:val="left"/>
            </w:pPr>
            <w:r>
              <w:rPr>
                <w:sz w:val="24"/>
              </w:rPr>
              <w:t>（</w:t>
            </w:r>
            <w:r>
              <w:rPr>
                <w:sz w:val="24"/>
              </w:rPr>
              <w:t>2</w:t>
            </w:r>
            <w:r>
              <w:rPr>
                <w:sz w:val="24"/>
              </w:rPr>
              <w:t>）涉及数据抽取、导出、迁移与测试数据使用的，应遵循甲方数据安全与个人信息保护要求，落实脱敏与访问审批流程。</w:t>
            </w:r>
          </w:p>
          <w:p>
            <w:pPr>
              <w:pStyle w:val="null3"/>
            </w:pPr>
            <w:r>
              <w:rPr>
                <w:sz w:val="24"/>
              </w:rPr>
              <w:t>（</w:t>
            </w:r>
            <w:r>
              <w:rPr>
                <w:sz w:val="24"/>
              </w:rPr>
              <w:t>3</w:t>
            </w:r>
            <w:r>
              <w:rPr>
                <w:sz w:val="24"/>
              </w:rPr>
              <w:t>）实施过程形成的日志、配置与证据材料应按甲方要求归档，满足内审与监管检查需要。</w:t>
            </w:r>
          </w:p>
        </w:tc>
      </w:tr>
    </w:tbl>
    <w:p>
      <w:pPr>
        <w:pStyle w:val="null3"/>
        <w:ind w:firstLine="482"/>
        <w:jc w:val="both"/>
      </w:pPr>
      <w:r>
        <w:rPr>
          <w:sz w:val="24"/>
          <w:b/>
        </w:rPr>
        <w:t>四、服务对照执行标准：</w:t>
      </w:r>
    </w:p>
    <w:p>
      <w:pPr>
        <w:pStyle w:val="null3"/>
        <w:ind w:firstLine="480"/>
        <w:jc w:val="both"/>
      </w:pPr>
      <w:r>
        <w:rPr>
          <w:sz w:val="24"/>
        </w:rPr>
        <w:t>1.</w:t>
      </w:r>
      <w:r>
        <w:rPr>
          <w:sz w:val="24"/>
        </w:rPr>
        <w:t>符合中华人民共和国国家和履约地相关安全质量标准、行业技术规范标准；</w:t>
      </w:r>
    </w:p>
    <w:p>
      <w:pPr>
        <w:pStyle w:val="null3"/>
        <w:ind w:firstLine="480"/>
        <w:jc w:val="both"/>
      </w:pPr>
      <w:r>
        <w:rPr>
          <w:sz w:val="24"/>
        </w:rPr>
        <w:t>2.</w:t>
      </w:r>
      <w:r>
        <w:rPr>
          <w:sz w:val="24"/>
        </w:rPr>
        <w:t>符合采购文件和响应承诺中各方共同认可的合理要求；</w:t>
      </w:r>
    </w:p>
    <w:p>
      <w:pPr>
        <w:pStyle w:val="null3"/>
        <w:ind w:firstLine="480"/>
        <w:jc w:val="both"/>
      </w:pPr>
      <w:r>
        <w:rPr>
          <w:sz w:val="24"/>
        </w:rPr>
        <w:t>上述各类标准与法规必须是有关官方机构最新发布的现行标准版本。</w:t>
      </w:r>
    </w:p>
    <w:p>
      <w:pPr>
        <w:pStyle w:val="null3"/>
        <w:ind w:firstLine="482"/>
        <w:jc w:val="both"/>
      </w:pPr>
      <w:r>
        <w:rPr>
          <w:sz w:val="24"/>
          <w:b/>
        </w:rPr>
        <w:t>五、投诉跟踪服务要求：</w:t>
      </w:r>
    </w:p>
    <w:p>
      <w:pPr>
        <w:pStyle w:val="null3"/>
        <w:ind w:firstLine="480"/>
        <w:jc w:val="both"/>
      </w:pPr>
      <w:r>
        <w:rPr>
          <w:sz w:val="24"/>
        </w:rPr>
        <w:t>1.</w:t>
      </w:r>
      <w:r>
        <w:rPr>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pStyle w:val="null3"/>
        <w:ind w:firstLine="480"/>
        <w:jc w:val="both"/>
      </w:pPr>
      <w:r>
        <w:rPr>
          <w:sz w:val="24"/>
        </w:rPr>
        <w:t>2.</w:t>
      </w:r>
      <w:r>
        <w:rPr>
          <w:sz w:val="24"/>
        </w:rPr>
        <w:t>合同履行期限内，甲方有权按本项目的管理要求对乙方进行不定期抽查检查，若对不合格的管理服务提出警告后，仍未得到有效解决时，甲方有权终止采购合同。</w:t>
      </w:r>
    </w:p>
    <w:p>
      <w:pPr>
        <w:pStyle w:val="null3"/>
        <w:ind w:firstLine="480"/>
        <w:jc w:val="both"/>
      </w:pPr>
      <w:r>
        <w:rPr>
          <w:sz w:val="24"/>
        </w:rPr>
        <w:t>3.</w:t>
      </w:r>
      <w:r>
        <w:rPr>
          <w:sz w:val="24"/>
        </w:rPr>
        <w:t>乙方服务机构名称及地址：</w:t>
      </w:r>
    </w:p>
    <w:p>
      <w:pPr>
        <w:pStyle w:val="null3"/>
        <w:ind w:firstLine="420"/>
        <w:jc w:val="both"/>
      </w:pPr>
      <w:r>
        <w:rPr>
          <w:sz w:val="24"/>
        </w:rPr>
        <w:t>联系人</w:t>
      </w:r>
      <w:r>
        <w:rPr>
          <w:sz w:val="24"/>
        </w:rPr>
        <w:t>1</w:t>
      </w:r>
      <w:r>
        <w:rPr>
          <w:sz w:val="24"/>
        </w:rPr>
        <w:t>：          ，联系电话：            ，手机：          ；</w:t>
      </w:r>
    </w:p>
    <w:p>
      <w:pPr>
        <w:pStyle w:val="null3"/>
        <w:ind w:firstLine="420"/>
        <w:jc w:val="both"/>
      </w:pPr>
      <w:r>
        <w:rPr>
          <w:sz w:val="24"/>
        </w:rPr>
        <w:t>联系人</w:t>
      </w:r>
      <w:r>
        <w:rPr>
          <w:sz w:val="24"/>
        </w:rPr>
        <w:t>2</w:t>
      </w:r>
      <w:r>
        <w:rPr>
          <w:sz w:val="24"/>
        </w:rPr>
        <w:t>：          ，联系电话：            ，手机：          ；</w:t>
      </w:r>
    </w:p>
    <w:p>
      <w:pPr>
        <w:pStyle w:val="null3"/>
        <w:ind w:firstLine="420"/>
        <w:jc w:val="both"/>
      </w:pPr>
      <w:r>
        <w:rPr>
          <w:sz w:val="24"/>
        </w:rPr>
        <w:t>服务专线电话：</w:t>
      </w:r>
    </w:p>
    <w:p>
      <w:pPr>
        <w:pStyle w:val="null3"/>
        <w:ind w:firstLine="480"/>
        <w:jc w:val="both"/>
      </w:pPr>
      <w:r>
        <w:rPr>
          <w:sz w:val="24"/>
        </w:rPr>
        <w:t>4.</w:t>
      </w:r>
      <w:r>
        <w:rPr>
          <w:sz w:val="24"/>
        </w:rPr>
        <w:t>其他服务要求：（补充内容不得对采购文件和投标</w:t>
      </w:r>
      <w:r>
        <w:rPr>
          <w:sz w:val="24"/>
        </w:rPr>
        <w:t>/</w:t>
      </w:r>
      <w:r>
        <w:rPr>
          <w:sz w:val="24"/>
        </w:rPr>
        <w:t>响应文件作实质性修改）</w:t>
      </w:r>
    </w:p>
    <w:p>
      <w:pPr>
        <w:pStyle w:val="null3"/>
        <w:ind w:firstLine="480"/>
        <w:jc w:val="both"/>
      </w:pPr>
      <w:r>
        <w:rPr>
          <w:u w:val="single"/>
        </w:rPr>
        <w:t xml:space="preserve">                                                           </w:t>
      </w:r>
      <w:r>
        <w:rPr>
          <w:sz w:val="24"/>
        </w:rPr>
        <w:t>。</w:t>
      </w:r>
    </w:p>
    <w:p>
      <w:pPr>
        <w:pStyle w:val="null3"/>
        <w:ind w:firstLine="482"/>
        <w:jc w:val="both"/>
      </w:pPr>
      <w:r>
        <w:rPr>
          <w:sz w:val="24"/>
          <w:b/>
        </w:rPr>
        <w:t>六、验收要求：</w:t>
      </w:r>
    </w:p>
    <w:p>
      <w:pPr>
        <w:pStyle w:val="null3"/>
        <w:ind w:firstLine="480"/>
        <w:jc w:val="both"/>
      </w:pPr>
      <w:r>
        <w:rPr>
          <w:sz w:val="24"/>
        </w:rPr>
        <w:t>1.</w:t>
      </w:r>
      <w:r>
        <w:rPr>
          <w:sz w:val="24"/>
        </w:rPr>
        <w:t>乙方配合甲方分阶段完成产品研发部署工作，以能力是否真实落地、平台是否可持续运行为核心；重点考核系统运行状态与实际使用情况；采用分项验收、初步验收和最终验收相结合的方式进行；</w:t>
      </w:r>
    </w:p>
    <w:p>
      <w:pPr>
        <w:pStyle w:val="null3"/>
        <w:ind w:firstLine="480"/>
        <w:jc w:val="both"/>
      </w:pPr>
      <w:r>
        <w:rPr>
          <w:sz w:val="24"/>
        </w:rPr>
        <w:t>（一）分项验收要求：</w:t>
      </w:r>
    </w:p>
    <w:p>
      <w:pPr>
        <w:pStyle w:val="null3"/>
      </w:pPr>
      <w:r>
        <w:rPr>
          <w:sz w:val="24"/>
        </w:rPr>
        <w:t>（</w:t>
      </w:r>
      <w:r>
        <w:rPr>
          <w:sz w:val="24"/>
        </w:rPr>
        <w:t>1</w:t>
      </w:r>
      <w:r>
        <w:rPr>
          <w:sz w:val="24"/>
        </w:rPr>
        <w:t>）中枢平台与集成治理能力验收至少要满足以下条件：</w:t>
      </w:r>
    </w:p>
    <w:p>
      <w:pPr>
        <w:pStyle w:val="null3"/>
        <w:ind w:firstLine="480"/>
      </w:pPr>
      <w:r>
        <w:rPr>
          <w:sz w:val="24"/>
        </w:rPr>
        <w:t>①中枢平台已在采购人指定的本地环境完成部署，并正常运行不少于</w:t>
      </w:r>
      <w:r>
        <w:rPr>
          <w:sz w:val="24"/>
        </w:rPr>
        <w:t>2</w:t>
      </w:r>
      <w:r>
        <w:rPr>
          <w:sz w:val="24"/>
        </w:rPr>
        <w:t>周；</w:t>
      </w:r>
    </w:p>
    <w:p>
      <w:pPr>
        <w:pStyle w:val="null3"/>
        <w:ind w:firstLine="480"/>
      </w:pPr>
      <w:r>
        <w:rPr>
          <w:sz w:val="24"/>
        </w:rPr>
        <w:t>②已完成统一身份认证与权限管理机制配置，随机抽查不少于</w:t>
      </w:r>
      <w:r>
        <w:rPr>
          <w:sz w:val="24"/>
        </w:rPr>
        <w:t>2</w:t>
      </w:r>
      <w:r>
        <w:rPr>
          <w:sz w:val="24"/>
        </w:rPr>
        <w:t>个账户进行权限验证并可正常使用；</w:t>
      </w:r>
    </w:p>
    <w:p>
      <w:pPr>
        <w:pStyle w:val="null3"/>
        <w:ind w:firstLine="480"/>
      </w:pPr>
      <w:r>
        <w:rPr>
          <w:sz w:val="24"/>
        </w:rPr>
        <w:t>③平台运行过程具备日志记录与基础运行监控能力，随机抽查不少于</w:t>
      </w:r>
      <w:r>
        <w:rPr>
          <w:sz w:val="24"/>
        </w:rPr>
        <w:t>3</w:t>
      </w:r>
      <w:r>
        <w:rPr>
          <w:sz w:val="24"/>
        </w:rPr>
        <w:t>条业务链路进行日志追溯验证；</w:t>
      </w:r>
    </w:p>
    <w:p>
      <w:pPr>
        <w:pStyle w:val="null3"/>
        <w:ind w:firstLine="480"/>
      </w:pPr>
      <w:r>
        <w:rPr>
          <w:sz w:val="24"/>
        </w:rPr>
        <w:t>④已完成相关人员培训，并提交签到与培训材料；</w:t>
      </w:r>
    </w:p>
    <w:p>
      <w:pPr>
        <w:pStyle w:val="null3"/>
        <w:ind w:firstLine="480"/>
        <w:jc w:val="both"/>
      </w:pPr>
      <w:r>
        <w:rPr>
          <w:sz w:val="24"/>
        </w:rPr>
        <w:t>⑤提交阶段验收报告及相关配置说明文档。</w:t>
      </w:r>
    </w:p>
    <w:p>
      <w:pPr>
        <w:pStyle w:val="null3"/>
      </w:pPr>
      <w:r>
        <w:rPr>
          <w:sz w:val="24"/>
        </w:rPr>
        <w:t>（</w:t>
      </w:r>
      <w:r>
        <w:rPr>
          <w:sz w:val="24"/>
        </w:rPr>
        <w:t>2</w:t>
      </w:r>
      <w:r>
        <w:rPr>
          <w:sz w:val="24"/>
        </w:rPr>
        <w:t>）数据治理与数据能力验收至少要满足以下条件：</w:t>
      </w:r>
    </w:p>
    <w:p>
      <w:pPr>
        <w:pStyle w:val="null3"/>
        <w:ind w:firstLine="480"/>
      </w:pPr>
      <w:r>
        <w:rPr>
          <w:sz w:val="24"/>
        </w:rPr>
        <w:t>①已建立统一的数据标准、指标口径与主数据管理规则并形成数据说明手册；</w:t>
      </w:r>
    </w:p>
    <w:p>
      <w:pPr>
        <w:pStyle w:val="null3"/>
        <w:ind w:firstLine="480"/>
      </w:pPr>
      <w:r>
        <w:rPr>
          <w:sz w:val="24"/>
        </w:rPr>
        <w:t>②数据治理流程已实际运行不少于</w:t>
      </w:r>
      <w:r>
        <w:rPr>
          <w:sz w:val="24"/>
        </w:rPr>
        <w:t xml:space="preserve">2 </w:t>
      </w:r>
      <w:r>
        <w:rPr>
          <w:sz w:val="24"/>
        </w:rPr>
        <w:t>周；</w:t>
      </w:r>
    </w:p>
    <w:p>
      <w:pPr>
        <w:pStyle w:val="null3"/>
        <w:ind w:firstLine="480"/>
      </w:pPr>
      <w:r>
        <w:rPr>
          <w:sz w:val="24"/>
        </w:rPr>
        <w:t>③至少完成不少于</w:t>
      </w:r>
      <w:r>
        <w:rPr>
          <w:sz w:val="24"/>
        </w:rPr>
        <w:t xml:space="preserve">3 </w:t>
      </w:r>
      <w:r>
        <w:rPr>
          <w:sz w:val="24"/>
        </w:rPr>
        <w:t>个数据服务或指标服务的调用验证；</w:t>
      </w:r>
    </w:p>
    <w:p>
      <w:pPr>
        <w:pStyle w:val="null3"/>
        <w:ind w:firstLine="480"/>
      </w:pPr>
      <w:r>
        <w:rPr>
          <w:sz w:val="24"/>
        </w:rPr>
        <w:t>④已完成不少于</w:t>
      </w:r>
      <w:r>
        <w:rPr>
          <w:sz w:val="24"/>
        </w:rPr>
        <w:t xml:space="preserve">2 </w:t>
      </w:r>
      <w:r>
        <w:rPr>
          <w:sz w:val="24"/>
        </w:rPr>
        <w:t>个标准化训练</w:t>
      </w:r>
      <w:r>
        <w:rPr>
          <w:sz w:val="24"/>
        </w:rPr>
        <w:t>/</w:t>
      </w:r>
      <w:r>
        <w:rPr>
          <w:sz w:val="24"/>
        </w:rPr>
        <w:t>评测数据集构建，并提供版本编号、数据来源说明与使用记录；</w:t>
      </w:r>
    </w:p>
    <w:p>
      <w:pPr>
        <w:pStyle w:val="null3"/>
        <w:ind w:firstLine="480"/>
      </w:pPr>
      <w:r>
        <w:rPr>
          <w:sz w:val="24"/>
        </w:rPr>
        <w:t>⑤已完成相关人员培训，培训参与人数不少于</w:t>
      </w:r>
      <w:r>
        <w:rPr>
          <w:sz w:val="24"/>
        </w:rPr>
        <w:t>5</w:t>
      </w:r>
      <w:r>
        <w:rPr>
          <w:sz w:val="24"/>
        </w:rPr>
        <w:t>人，并提交签到与培训材料；</w:t>
      </w:r>
    </w:p>
    <w:p>
      <w:pPr>
        <w:pStyle w:val="null3"/>
        <w:ind w:firstLine="480"/>
        <w:jc w:val="both"/>
      </w:pPr>
      <w:r>
        <w:rPr>
          <w:sz w:val="24"/>
        </w:rPr>
        <w:t>⑥提交阶段验收报告及相关培训记录。</w:t>
      </w:r>
    </w:p>
    <w:p>
      <w:pPr>
        <w:pStyle w:val="null3"/>
      </w:pPr>
      <w:r>
        <w:rPr>
          <w:sz w:val="24"/>
        </w:rPr>
        <w:t>（</w:t>
      </w:r>
      <w:r>
        <w:rPr>
          <w:sz w:val="24"/>
        </w:rPr>
        <w:t>3</w:t>
      </w:r>
      <w:r>
        <w:rPr>
          <w:sz w:val="24"/>
        </w:rPr>
        <w:t>）智慧大脑与智能服务验收至少要满足以下条件：</w:t>
      </w:r>
    </w:p>
    <w:p>
      <w:pPr>
        <w:pStyle w:val="null3"/>
        <w:ind w:firstLine="480"/>
      </w:pPr>
      <w:r>
        <w:rPr>
          <w:sz w:val="24"/>
        </w:rPr>
        <w:t>①智慧大脑系统完成部署并连续稳定运行不少于</w:t>
      </w:r>
      <w:r>
        <w:rPr>
          <w:sz w:val="24"/>
        </w:rPr>
        <w:t>2</w:t>
      </w:r>
      <w:r>
        <w:rPr>
          <w:sz w:val="24"/>
        </w:rPr>
        <w:t>周；</w:t>
      </w:r>
    </w:p>
    <w:p>
      <w:pPr>
        <w:pStyle w:val="null3"/>
        <w:ind w:firstLine="480"/>
      </w:pPr>
      <w:r>
        <w:rPr>
          <w:sz w:val="24"/>
        </w:rPr>
        <w:t xml:space="preserve">②模型注册、部署、版本管理与下线流程可现场演示，演示不少于 </w:t>
      </w:r>
      <w:r>
        <w:rPr>
          <w:sz w:val="24"/>
        </w:rPr>
        <w:t xml:space="preserve">1 </w:t>
      </w:r>
      <w:r>
        <w:rPr>
          <w:sz w:val="24"/>
        </w:rPr>
        <w:t>次完整发布流程；</w:t>
      </w:r>
    </w:p>
    <w:p>
      <w:pPr>
        <w:pStyle w:val="null3"/>
        <w:ind w:firstLine="480"/>
      </w:pPr>
      <w:r>
        <w:rPr>
          <w:sz w:val="24"/>
        </w:rPr>
        <w:t>③至少完成</w:t>
      </w:r>
      <w:r>
        <w:rPr>
          <w:sz w:val="24"/>
        </w:rPr>
        <w:t>2</w:t>
      </w:r>
      <w:r>
        <w:rPr>
          <w:sz w:val="24"/>
        </w:rPr>
        <w:t>个典型业务场景的智能服务上线（具体场景以采购人确认清单为准）；</w:t>
      </w:r>
    </w:p>
    <w:p>
      <w:pPr>
        <w:pStyle w:val="null3"/>
        <w:ind w:firstLine="480"/>
      </w:pPr>
      <w:r>
        <w:rPr>
          <w:sz w:val="24"/>
        </w:rPr>
        <w:t xml:space="preserve">④模型运行日志可追溯，随机抽查不少于 </w:t>
      </w:r>
      <w:r>
        <w:rPr>
          <w:sz w:val="24"/>
        </w:rPr>
        <w:t xml:space="preserve">3 </w:t>
      </w:r>
      <w:r>
        <w:rPr>
          <w:sz w:val="24"/>
        </w:rPr>
        <w:t>条模型调用记录；</w:t>
      </w:r>
    </w:p>
    <w:p>
      <w:pPr>
        <w:pStyle w:val="null3"/>
        <w:ind w:firstLine="480"/>
      </w:pPr>
      <w:r>
        <w:rPr>
          <w:sz w:val="24"/>
        </w:rPr>
        <w:t>⑤已完成相关人员培训，培训参与人数不少于</w:t>
      </w:r>
      <w:r>
        <w:rPr>
          <w:sz w:val="24"/>
        </w:rPr>
        <w:t>5</w:t>
      </w:r>
      <w:r>
        <w:rPr>
          <w:sz w:val="24"/>
        </w:rPr>
        <w:t>人，并提交签到与培训材料；</w:t>
      </w:r>
    </w:p>
    <w:p>
      <w:pPr>
        <w:pStyle w:val="null3"/>
        <w:ind w:firstLine="480"/>
        <w:jc w:val="left"/>
      </w:pPr>
      <w:r>
        <w:rPr>
          <w:sz w:val="24"/>
        </w:rPr>
        <w:t>⑥提交智能服务运行说明、模型版本清单及阶段运行记录。</w:t>
      </w:r>
    </w:p>
    <w:p>
      <w:pPr>
        <w:pStyle w:val="null3"/>
        <w:ind w:firstLine="480"/>
        <w:jc w:val="left"/>
      </w:pPr>
      <w:r>
        <w:rPr>
          <w:sz w:val="24"/>
        </w:rPr>
        <w:t>（二）初步验收要求：分项验收各项验收均通过且系统正式上线运行一个月后进行项目初步验收。如系统</w:t>
      </w:r>
      <w:r>
        <w:rPr>
          <w:sz w:val="24"/>
        </w:rPr>
        <w:t>上线</w:t>
      </w:r>
      <w:r>
        <w:rPr>
          <w:sz w:val="24"/>
        </w:rPr>
        <w:t>稳定</w:t>
      </w:r>
      <w:r>
        <w:rPr>
          <w:sz w:val="24"/>
        </w:rPr>
        <w:t>运行</w:t>
      </w:r>
      <w:r>
        <w:rPr>
          <w:sz w:val="24"/>
        </w:rPr>
        <w:t>一个月</w:t>
      </w:r>
      <w:r>
        <w:rPr>
          <w:sz w:val="24"/>
        </w:rPr>
        <w:t>且满足系统整体可用性不低于</w:t>
      </w:r>
      <w:r>
        <w:rPr>
          <w:sz w:val="24"/>
        </w:rPr>
        <w:t>99.5%</w:t>
      </w:r>
      <w:r>
        <w:rPr>
          <w:sz w:val="24"/>
        </w:rPr>
        <w:t>，视为通过初步验收。</w:t>
      </w:r>
    </w:p>
    <w:p>
      <w:pPr>
        <w:pStyle w:val="null3"/>
        <w:ind w:firstLine="480"/>
        <w:jc w:val="left"/>
      </w:pPr>
      <w:r>
        <w:rPr>
          <w:sz w:val="24"/>
        </w:rPr>
        <w:t>（三）最终验收要求</w:t>
      </w:r>
      <w:r>
        <w:rPr>
          <w:sz w:val="24"/>
        </w:rPr>
        <w:t>:</w:t>
      </w:r>
      <w:r>
        <w:rPr>
          <w:sz w:val="24"/>
        </w:rPr>
        <w:t>在完成全部建设内容并通过项目初步验收，系统运维服务期满</w:t>
      </w:r>
      <w:r>
        <w:rPr>
          <w:sz w:val="24"/>
        </w:rPr>
        <w:t>1</w:t>
      </w:r>
      <w:r>
        <w:rPr>
          <w:sz w:val="24"/>
        </w:rPr>
        <w:t>年后，方可开展整体最终验收。系统运维服务期内中标供应商提供全面的运维服务，确保系统持续稳定、高效运行，每</w:t>
      </w:r>
      <w:r>
        <w:rPr>
          <w:sz w:val="24"/>
        </w:rPr>
        <w:t>6</w:t>
      </w:r>
      <w:r>
        <w:rPr>
          <w:sz w:val="24"/>
        </w:rPr>
        <w:t>个月提供系统运行状态报告，并在发生潜在风险时及时预警和处置，保障采购人业务正常开展，视为通过最终验收。</w:t>
      </w:r>
    </w:p>
    <w:p>
      <w:pPr>
        <w:pStyle w:val="null3"/>
        <w:ind w:firstLine="480"/>
        <w:jc w:val="both"/>
      </w:pPr>
      <w:r>
        <w:rPr>
          <w:sz w:val="24"/>
        </w:rPr>
        <w:t>2.</w:t>
      </w:r>
      <w:r>
        <w:rPr>
          <w:sz w:val="24"/>
        </w:rPr>
        <w:t>其他验收要求：（补充内容不得对采购文件和投标</w:t>
      </w:r>
      <w:r>
        <w:rPr>
          <w:sz w:val="24"/>
        </w:rPr>
        <w:t>/</w:t>
      </w:r>
      <w:r>
        <w:rPr>
          <w:sz w:val="24"/>
        </w:rPr>
        <w:t>响应文件作实质性修改）</w:t>
      </w:r>
    </w:p>
    <w:p>
      <w:pPr>
        <w:pStyle w:val="null3"/>
        <w:ind w:firstLine="480"/>
        <w:jc w:val="both"/>
      </w:pPr>
      <w:r>
        <w:rPr>
          <w:u w:val="single"/>
        </w:rPr>
        <w:t xml:space="preserve">                                                           </w:t>
      </w:r>
      <w:r>
        <w:rPr>
          <w:sz w:val="24"/>
        </w:rPr>
        <w:t>。</w:t>
      </w:r>
    </w:p>
    <w:p>
      <w:pPr>
        <w:pStyle w:val="null3"/>
        <w:ind w:firstLine="480"/>
        <w:jc w:val="both"/>
      </w:pPr>
      <w:r>
        <w:rPr>
          <w:sz w:val="24"/>
          <w:b/>
        </w:rPr>
        <w:t>七、知识产权和保密要求：</w:t>
      </w:r>
    </w:p>
    <w:p>
      <w:pPr>
        <w:pStyle w:val="null3"/>
        <w:ind w:firstLine="480"/>
        <w:jc w:val="both"/>
      </w:pPr>
      <w:r>
        <w:rPr>
          <w:sz w:val="24"/>
        </w:rPr>
        <w:t>1.</w:t>
      </w:r>
      <w:r>
        <w:rPr>
          <w:sz w:val="24"/>
        </w:rPr>
        <w:t>知识产权</w:t>
      </w:r>
    </w:p>
    <w:p>
      <w:pPr>
        <w:pStyle w:val="null3"/>
        <w:ind w:firstLine="480"/>
        <w:jc w:val="both"/>
      </w:pPr>
      <w:r>
        <w:rPr>
          <w:sz w:val="24"/>
        </w:rPr>
        <w:t>（</w:t>
      </w:r>
      <w:r>
        <w:rPr>
          <w:sz w:val="24"/>
        </w:rPr>
        <w:t>1</w:t>
      </w:r>
      <w:r>
        <w:rPr>
          <w:sz w:val="24"/>
        </w:rPr>
        <w:t>）乙方应保证本项目的投标技术、服务或其任何一部分不会产生因第三方提出侵犯其专利权、商标权或其他知识产权而引起的法律和经济纠纷；如因第三方提出其专利权、商标权等知识产权或其他权益的侵权之诉，则一切法律责任由乙方承担。</w:t>
      </w:r>
    </w:p>
    <w:p>
      <w:pPr>
        <w:pStyle w:val="null3"/>
        <w:ind w:firstLine="480"/>
        <w:jc w:val="both"/>
      </w:pPr>
      <w:r>
        <w:rPr>
          <w:sz w:val="24"/>
        </w:rPr>
        <w:t>（</w:t>
      </w:r>
      <w:r>
        <w:rPr>
          <w:sz w:val="24"/>
        </w:rPr>
        <w:t>2</w:t>
      </w:r>
      <w:r>
        <w:rPr>
          <w:sz w:val="24"/>
        </w:rPr>
        <w:t>）本项目所产出的软件源代码、技术文档等成果知识产权归甲方所有。</w:t>
      </w:r>
    </w:p>
    <w:p>
      <w:pPr>
        <w:pStyle w:val="null3"/>
        <w:ind w:firstLine="480"/>
        <w:jc w:val="both"/>
      </w:pPr>
      <w:r>
        <w:rPr>
          <w:sz w:val="24"/>
          <w:u w:val="single"/>
        </w:rPr>
        <w:t>2.</w:t>
      </w:r>
      <w:r>
        <w:rPr>
          <w:sz w:val="24"/>
          <w:u w:val="single"/>
        </w:rPr>
        <w:t>保密条款</w:t>
      </w:r>
    </w:p>
    <w:p>
      <w:pPr>
        <w:pStyle w:val="null3"/>
        <w:ind w:firstLine="480"/>
        <w:jc w:val="left"/>
      </w:pPr>
      <w:r>
        <w:rPr>
          <w:sz w:val="24"/>
        </w:rPr>
        <w:t>（</w:t>
      </w:r>
      <w:r>
        <w:rPr>
          <w:sz w:val="24"/>
        </w:rPr>
        <w:t>1</w:t>
      </w:r>
      <w:r>
        <w:rPr>
          <w:sz w:val="24"/>
        </w:rPr>
        <w:t>）乙方必须如约承担合同履行时所应该尽的一切保密义务。乙方及其参与本项目的所有工作人员均须对甲方信息、项目实施过程中的资料、数据进行保密，未经甲方书面同意不得泄露给第三方，否则，甲方保留追究乙方法律责任的权利。保密责任不因合同的中止或解除而失效。</w:t>
      </w:r>
    </w:p>
    <w:p>
      <w:pPr>
        <w:pStyle w:val="null3"/>
        <w:ind w:firstLine="480"/>
        <w:jc w:val="both"/>
      </w:pPr>
      <w:r>
        <w:rPr>
          <w:sz w:val="24"/>
        </w:rPr>
        <w:t>（</w:t>
      </w:r>
      <w:r>
        <w:rPr>
          <w:sz w:val="24"/>
        </w:rPr>
        <w:t>2</w:t>
      </w:r>
      <w:r>
        <w:rPr>
          <w:sz w:val="24"/>
        </w:rPr>
        <w:t>）与本项目有关甲方的信息、项目实施过程中的资料、数据等所有资料（包括但不限于文字、图片、声像资料、电子数据等）均属甲方所有，乙方及其参与本项目的所有工作人员在本合同有效期内或合同终止后，不得泄露，也不得超越本项目实施范围使用。</w:t>
      </w:r>
    </w:p>
    <w:p>
      <w:pPr>
        <w:pStyle w:val="null3"/>
        <w:ind w:firstLine="480"/>
        <w:jc w:val="both"/>
      </w:pPr>
      <w:r>
        <w:rPr>
          <w:sz w:val="24"/>
          <w:b/>
        </w:rPr>
        <w:t>八、违约责任：</w:t>
      </w:r>
    </w:p>
    <w:p>
      <w:pPr>
        <w:pStyle w:val="null3"/>
        <w:ind w:firstLine="480"/>
        <w:jc w:val="both"/>
      </w:pPr>
      <w:r>
        <w:rPr>
          <w:sz w:val="24"/>
        </w:rPr>
        <w:t>1.</w:t>
      </w:r>
      <w:r>
        <w:rPr>
          <w:sz w:val="24"/>
        </w:rPr>
        <w:t>乙方提供的服务不符合招标文件、中标的投标文件或本合同规定的，甲方或使用单位有权要求乙方在指定期限内整改，因此造成逾期的，甲方有权要求乙方按招标文件、中标的投标文件或本合同规定承担逾期责任。乙方在甲方或使用单位指定期限内拒绝整改或整改后仍不符合要求的，甲方或使用单位有权解除本合同，乙方除向甲方退还对应服务的合同金额外，还应额外赔偿因此给甲方和使用单位造成的直接经济损失（包括但不限于甲方和使用单位的直接经济损失、预期可得利益损失以及为实现债权而支出的律师费、保全费、保全保险费、诉讼费、公证费、鉴定费、调查费等一切费用）。直接损失难以认定的，乙方应付违约金不应低于合同总金额的</w:t>
      </w:r>
      <w:r>
        <w:rPr>
          <w:sz w:val="24"/>
        </w:rPr>
        <w:t>5%</w:t>
      </w:r>
      <w:r>
        <w:rPr>
          <w:sz w:val="24"/>
        </w:rPr>
        <w:t>，不超过合同总金额的</w:t>
      </w:r>
      <w:r>
        <w:rPr>
          <w:sz w:val="24"/>
        </w:rPr>
        <w:t>10%</w:t>
      </w:r>
      <w:r>
        <w:rPr>
          <w:sz w:val="24"/>
        </w:rPr>
        <w:t>。</w:t>
      </w:r>
    </w:p>
    <w:p>
      <w:pPr>
        <w:pStyle w:val="null3"/>
        <w:ind w:firstLine="480"/>
        <w:jc w:val="both"/>
      </w:pPr>
      <w:r>
        <w:rPr>
          <w:sz w:val="24"/>
        </w:rPr>
        <w:t>2.</w:t>
      </w:r>
      <w:r>
        <w:rPr>
          <w:sz w:val="24"/>
        </w:rPr>
        <w:t>乙方未按要求按时履行合同义务时，须从逾期之日起每日按合同总金额的</w:t>
      </w:r>
      <w:r>
        <w:rPr>
          <w:sz w:val="24"/>
        </w:rPr>
        <w:t>2</w:t>
      </w:r>
      <w:r>
        <w:rPr>
          <w:sz w:val="24"/>
        </w:rPr>
        <w:t>‰比例向甲方支付违约金；逾期</w:t>
      </w:r>
      <w:r>
        <w:rPr>
          <w:sz w:val="24"/>
        </w:rPr>
        <w:t>15</w:t>
      </w:r>
      <w:r>
        <w:rPr>
          <w:sz w:val="24"/>
        </w:rPr>
        <w:t>日以上时，甲方或使用单位有权终止合同，由此造成甲方和使用单位的经济损失由乙方承担。违约金不足以弥补损失的，乙方应按全额赔偿。</w:t>
      </w:r>
    </w:p>
    <w:p>
      <w:pPr>
        <w:pStyle w:val="null3"/>
        <w:ind w:firstLine="480"/>
        <w:jc w:val="both"/>
      </w:pPr>
      <w:r>
        <w:rPr>
          <w:sz w:val="24"/>
        </w:rPr>
        <w:t>3.</w:t>
      </w:r>
      <w:r>
        <w:rPr>
          <w:sz w:val="24"/>
        </w:rPr>
        <w:t>因乙方项目质量原因导致项目最终验收不通过的，甲方或使用单位有权单方解除本合同，乙方须向甲方退还全部已收取的合同款项并按照合同总金额的</w:t>
      </w:r>
      <w:r>
        <w:rPr>
          <w:sz w:val="24"/>
        </w:rPr>
        <w:t>5%</w:t>
      </w:r>
      <w:r>
        <w:rPr>
          <w:sz w:val="24"/>
        </w:rPr>
        <w:t>向甲方支付违约金，该违约金不足以弥补因此给甲方或使用单位造成的损失（包括但不限于甲方的直接经济损失、预期可得利益损失以及为实现债权而支出的律师费、保全费、保全保险费、诉讼费、公证费、鉴定费、调查费等一切费用）的，甲方或使用单位有权继续向乙方追索。</w:t>
      </w:r>
    </w:p>
    <w:p>
      <w:pPr>
        <w:pStyle w:val="null3"/>
        <w:ind w:firstLine="480"/>
        <w:jc w:val="both"/>
      </w:pPr>
      <w:r>
        <w:rPr>
          <w:sz w:val="24"/>
        </w:rPr>
        <w:t>4.</w:t>
      </w:r>
      <w:r>
        <w:rPr>
          <w:sz w:val="24"/>
        </w:rPr>
        <w:t>在履行合同过程中，如果甲方或使用单位遇到可能影响乙方按时交货和提供服务的情形时，应及时以书面形式将迟延的事实、可能迟延的期限通知乙方。乙方在收到甲方或使用单位通知后，应及时对项目进行调整，并签订延长服务期限的协议。</w:t>
      </w:r>
    </w:p>
    <w:p>
      <w:pPr>
        <w:pStyle w:val="null3"/>
        <w:ind w:firstLine="480"/>
        <w:jc w:val="both"/>
      </w:pPr>
      <w:r>
        <w:rPr>
          <w:sz w:val="24"/>
        </w:rPr>
        <w:t>5.</w:t>
      </w:r>
      <w:r>
        <w:rPr>
          <w:sz w:val="24"/>
        </w:rPr>
        <w:t>其它违约责任按《中华人民共和国民法典》处理。</w:t>
      </w:r>
    </w:p>
    <w:p>
      <w:pPr>
        <w:pStyle w:val="null3"/>
        <w:ind w:firstLine="480"/>
        <w:jc w:val="both"/>
      </w:pPr>
      <w:r>
        <w:rPr>
          <w:sz w:val="24"/>
          <w:b/>
        </w:rPr>
        <w:t>九、提出异议的时间和方法：</w:t>
      </w:r>
    </w:p>
    <w:p>
      <w:pPr>
        <w:pStyle w:val="null3"/>
        <w:ind w:firstLine="480"/>
        <w:jc w:val="both"/>
      </w:pPr>
      <w:r>
        <w:rPr>
          <w:sz w:val="24"/>
        </w:rPr>
        <w:t>1.</w:t>
      </w:r>
      <w:r>
        <w:rPr>
          <w:sz w:val="24"/>
        </w:rPr>
        <w:t>甲方有异议时，应</w:t>
      </w:r>
      <w:r>
        <w:rPr>
          <w:sz w:val="24"/>
          <w:u w:val="single"/>
        </w:rPr>
        <w:t>15</w:t>
      </w:r>
      <w:r>
        <w:rPr>
          <w:sz w:val="24"/>
        </w:rPr>
        <w:t>天内向乙方提出书面异议。</w:t>
      </w:r>
    </w:p>
    <w:p>
      <w:pPr>
        <w:pStyle w:val="null3"/>
        <w:ind w:firstLine="480"/>
        <w:jc w:val="both"/>
      </w:pPr>
      <w:r>
        <w:rPr>
          <w:sz w:val="24"/>
        </w:rPr>
        <w:t>2.</w:t>
      </w:r>
      <w:r>
        <w:rPr>
          <w:sz w:val="24"/>
        </w:rPr>
        <w:t>乙方在接到甲方书面异议后，应在</w:t>
      </w:r>
      <w:r>
        <w:rPr>
          <w:sz w:val="24"/>
          <w:u w:val="single"/>
        </w:rPr>
        <w:t>15</w:t>
      </w:r>
      <w:r>
        <w:rPr>
          <w:sz w:val="24"/>
        </w:rPr>
        <w:t>天内负责处理并函复甲方处理情况，否则，即视为默认甲方提出的异议和处理意见。</w:t>
      </w:r>
    </w:p>
    <w:p>
      <w:pPr>
        <w:pStyle w:val="null3"/>
        <w:ind w:firstLine="480"/>
        <w:jc w:val="both"/>
      </w:pPr>
      <w:r>
        <w:rPr>
          <w:sz w:val="24"/>
        </w:rPr>
        <w:t>3.</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pStyle w:val="null3"/>
        <w:ind w:firstLine="480"/>
        <w:jc w:val="both"/>
      </w:pPr>
      <w:r>
        <w:rPr>
          <w:sz w:val="24"/>
          <w:b/>
        </w:rPr>
        <w:t>十、争议的解决：</w:t>
      </w:r>
    </w:p>
    <w:p>
      <w:pPr>
        <w:pStyle w:val="null3"/>
        <w:ind w:firstLine="480"/>
        <w:jc w:val="both"/>
      </w:pPr>
      <w:r>
        <w:rPr>
          <w:sz w:val="24"/>
        </w:rPr>
        <w:t>1.</w:t>
      </w:r>
      <w:r>
        <w:rPr>
          <w:sz w:val="24"/>
        </w:rPr>
        <w:t>合同履行过程中发生的任何争议，如双方未能通过友好协商解决，应向佛山市有管辖权的人民法院提起诉讼。</w:t>
      </w:r>
    </w:p>
    <w:p>
      <w:pPr>
        <w:pStyle w:val="null3"/>
        <w:ind w:firstLine="480"/>
        <w:jc w:val="both"/>
      </w:pPr>
      <w:r>
        <w:rPr>
          <w:sz w:val="24"/>
        </w:rPr>
        <w:t>2.</w:t>
      </w:r>
      <w:r>
        <w:rPr>
          <w:sz w:val="24"/>
        </w:rPr>
        <w:t>法院审理期间，除提交法院审理的事项外，其它无争议的事项和条款仍应继续履行。</w:t>
      </w:r>
    </w:p>
    <w:p>
      <w:pPr>
        <w:pStyle w:val="null3"/>
        <w:ind w:firstLine="480"/>
        <w:jc w:val="both"/>
      </w:pPr>
      <w:r>
        <w:rPr>
          <w:sz w:val="24"/>
          <w:b/>
        </w:rPr>
        <w:t>十一、不可抗力：</w:t>
      </w:r>
    </w:p>
    <w:p>
      <w:pPr>
        <w:pStyle w:val="null3"/>
        <w:ind w:firstLine="420"/>
        <w:jc w:val="both"/>
      </w:pPr>
      <w:r>
        <w:rPr>
          <w:sz w:val="24"/>
        </w:rPr>
        <w:t>任何一方由于不可抗力原因不能履行合同时，应在不可抗力事件结束后</w:t>
      </w:r>
      <w:r>
        <w:rPr>
          <w:sz w:val="24"/>
        </w:rPr>
        <w:t>48</w:t>
      </w:r>
      <w:r>
        <w:rPr>
          <w:sz w:val="24"/>
        </w:rPr>
        <w:t>小时内向对方通报，以减轻可能给对方造成的损失，在取得有关机构的不可抗力证明或双方谅解确认后，允许延期履行或修订合同，并根据情况可部分或全部免于承担违约责任。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十二、税费：</w:t>
      </w:r>
    </w:p>
    <w:p>
      <w:pPr>
        <w:pStyle w:val="null3"/>
        <w:ind w:firstLine="480"/>
        <w:jc w:val="both"/>
      </w:pPr>
      <w:r>
        <w:rPr>
          <w:sz w:val="24"/>
        </w:rPr>
        <w:t>1.</w:t>
      </w:r>
      <w:r>
        <w:rPr>
          <w:sz w:val="24"/>
        </w:rPr>
        <w:t>本合同实施过程中所发生的一切税费及不可预见费均由乙方承担。</w:t>
      </w:r>
    </w:p>
    <w:p>
      <w:pPr>
        <w:pStyle w:val="null3"/>
        <w:ind w:firstLine="480"/>
        <w:jc w:val="both"/>
      </w:pPr>
      <w:r>
        <w:rPr>
          <w:sz w:val="24"/>
        </w:rPr>
        <w:t>2.</w:t>
      </w:r>
      <w:r>
        <w:rPr>
          <w:sz w:val="24"/>
        </w:rPr>
        <w:t>乙方依照税务规章优先在合同履约地开具发票及纳税，咨询：</w:t>
      </w:r>
      <w:r>
        <w:rPr>
          <w:sz w:val="24"/>
        </w:rPr>
        <w:t>0757-12366</w:t>
      </w:r>
      <w:r>
        <w:rPr>
          <w:sz w:val="24"/>
        </w:rPr>
        <w:t>。</w:t>
      </w:r>
    </w:p>
    <w:p>
      <w:pPr>
        <w:pStyle w:val="null3"/>
        <w:ind w:firstLine="480"/>
        <w:jc w:val="both"/>
      </w:pPr>
      <w:r>
        <w:rPr>
          <w:sz w:val="24"/>
          <w:b/>
        </w:rPr>
        <w:t>十三、合同生效与合同备案：</w:t>
      </w:r>
    </w:p>
    <w:p>
      <w:pPr>
        <w:pStyle w:val="null3"/>
        <w:ind w:firstLine="480"/>
        <w:jc w:val="both"/>
      </w:pPr>
      <w:r>
        <w:rPr>
          <w:sz w:val="24"/>
        </w:rPr>
        <w:t>1.</w:t>
      </w:r>
      <w:r>
        <w:rPr>
          <w:sz w:val="24"/>
        </w:rPr>
        <w:t>本合同经采购代理机构鉴证后，由甲方和乙方法人代表或其授权代表签字、盖章之日起即行生效。</w:t>
      </w:r>
    </w:p>
    <w:p>
      <w:pPr>
        <w:pStyle w:val="null3"/>
        <w:ind w:firstLine="480"/>
        <w:jc w:val="both"/>
      </w:pPr>
      <w:r>
        <w:rPr>
          <w:sz w:val="24"/>
        </w:rPr>
        <w:t>2.</w:t>
      </w:r>
      <w:r>
        <w:rPr>
          <w:sz w:val="24"/>
        </w:rPr>
        <w:t>自采购合同签订之日起</w:t>
      </w:r>
      <w:r>
        <w:rPr>
          <w:sz w:val="24"/>
        </w:rPr>
        <w:t>2</w:t>
      </w:r>
      <w:r>
        <w:rPr>
          <w:sz w:val="24"/>
        </w:rPr>
        <w:t>个工作日内，甲方将采购合同</w:t>
      </w:r>
      <w:r>
        <w:rPr>
          <w:sz w:val="24"/>
        </w:rPr>
        <w:t>(</w:t>
      </w:r>
      <w:r>
        <w:rPr>
          <w:sz w:val="24"/>
        </w:rPr>
        <w:t>补充合同</w:t>
      </w:r>
      <w:r>
        <w:rPr>
          <w:sz w:val="24"/>
        </w:rPr>
        <w:t>)</w:t>
      </w:r>
      <w:r>
        <w:rPr>
          <w:sz w:val="24"/>
        </w:rPr>
        <w:t>在省采购网上公告，但采购合同中涉及国家秘密、商业秘密的内容除外。</w:t>
      </w:r>
    </w:p>
    <w:p>
      <w:pPr>
        <w:pStyle w:val="null3"/>
        <w:ind w:firstLine="480"/>
        <w:jc w:val="both"/>
      </w:pPr>
      <w:r>
        <w:rPr>
          <w:sz w:val="24"/>
          <w:b/>
        </w:rPr>
        <w:t>十四、乙方应提供的资料内容：</w:t>
      </w:r>
    </w:p>
    <w:p>
      <w:pPr>
        <w:pStyle w:val="null3"/>
        <w:ind w:firstLine="480"/>
        <w:jc w:val="both"/>
      </w:pPr>
      <w:r>
        <w:rPr>
          <w:u w:val="single"/>
        </w:rPr>
        <w:t xml:space="preserve">                             </w:t>
      </w:r>
      <w:r>
        <w:rPr>
          <w:sz w:val="24"/>
        </w:rPr>
        <w:t>。</w:t>
      </w:r>
    </w:p>
    <w:p>
      <w:pPr>
        <w:pStyle w:val="null3"/>
        <w:ind w:firstLine="480"/>
        <w:jc w:val="both"/>
      </w:pPr>
      <w:r>
        <w:rPr>
          <w:sz w:val="24"/>
          <w:b/>
        </w:rPr>
        <w:t>十五、关于政府采购合同融资</w:t>
      </w:r>
    </w:p>
    <w:p>
      <w:pPr>
        <w:pStyle w:val="null3"/>
        <w:ind w:firstLine="480"/>
        <w:jc w:val="both"/>
      </w:pPr>
      <w:r>
        <w:rPr>
          <w:sz w:val="24"/>
        </w:rPr>
        <w:t>1.</w:t>
      </w:r>
      <w:r>
        <w:rPr>
          <w:sz w:val="24"/>
        </w:rPr>
        <w:t>乙方是否已申请政府采购合同融资：</w:t>
      </w:r>
      <w:r>
        <w:rPr>
          <w:sz w:val="24"/>
          <w:u w:val="single"/>
        </w:rPr>
        <w:t xml:space="preserve">  </w:t>
      </w:r>
      <w:r>
        <w:rPr>
          <w:sz w:val="24"/>
          <w:u w:val="single"/>
        </w:rPr>
        <w:t>是</w:t>
      </w:r>
      <w:r>
        <w:rPr>
          <w:sz w:val="24"/>
          <w:u w:val="single"/>
        </w:rPr>
        <w:t>/</w:t>
      </w:r>
      <w:r>
        <w:rPr>
          <w:sz w:val="24"/>
          <w:u w:val="single"/>
        </w:rPr>
        <w:t xml:space="preserve">否  </w:t>
      </w:r>
      <w:r>
        <w:rPr>
          <w:sz w:val="24"/>
        </w:rPr>
        <w:t>；</w:t>
      </w:r>
    </w:p>
    <w:p>
      <w:pPr>
        <w:pStyle w:val="null3"/>
        <w:ind w:firstLine="480"/>
        <w:jc w:val="both"/>
      </w:pPr>
      <w:r>
        <w:rPr>
          <w:sz w:val="24"/>
        </w:rPr>
        <w:t>2.</w:t>
      </w:r>
      <w:r>
        <w:rPr>
          <w:sz w:val="24"/>
        </w:rPr>
        <w:t>融资银行及联系方式：</w:t>
      </w:r>
      <w:r>
        <w:rPr>
          <w:u w:val="single"/>
        </w:rPr>
        <w:t xml:space="preserve">          </w:t>
      </w:r>
      <w:r>
        <w:rPr>
          <w:sz w:val="24"/>
        </w:rPr>
        <w:t>。</w:t>
      </w:r>
    </w:p>
    <w:p>
      <w:pPr>
        <w:pStyle w:val="null3"/>
        <w:ind w:firstLine="480"/>
        <w:jc w:val="both"/>
      </w:pPr>
      <w:r>
        <w:rPr>
          <w:sz w:val="24"/>
        </w:rPr>
        <w:t>3.</w:t>
      </w:r>
      <w:r>
        <w:rPr>
          <w:sz w:val="24"/>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r>
        <w:rPr>
          <w:sz w:val="24"/>
          <w:b/>
        </w:rPr>
        <w:t>。</w:t>
      </w:r>
    </w:p>
    <w:p>
      <w:pPr>
        <w:pStyle w:val="null3"/>
        <w:ind w:firstLine="480"/>
        <w:jc w:val="both"/>
      </w:pPr>
      <w:r>
        <w:rPr>
          <w:sz w:val="24"/>
          <w:b/>
        </w:rPr>
        <w:t>十六、其它：</w:t>
      </w:r>
    </w:p>
    <w:p>
      <w:pPr>
        <w:pStyle w:val="null3"/>
        <w:ind w:firstLine="480"/>
        <w:jc w:val="both"/>
      </w:pPr>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rPr>
        <w:t>2.</w:t>
      </w:r>
      <w:r>
        <w:rPr>
          <w:sz w:val="24"/>
        </w:rPr>
        <w:t>如一方（包括联系人）地址、电话、传真号码有变更，应在变更后</w:t>
      </w:r>
      <w:r>
        <w:rPr>
          <w:sz w:val="24"/>
        </w:rPr>
        <w:t>3</w:t>
      </w:r>
      <w:r>
        <w:rPr>
          <w:sz w:val="24"/>
        </w:rPr>
        <w:t>个工作日内书面通知对方联系人或负责人，否则，因此造成的损失由未履行通知义务方承担相应责任。</w:t>
      </w:r>
    </w:p>
    <w:p>
      <w:pPr>
        <w:pStyle w:val="null3"/>
        <w:ind w:firstLine="480"/>
        <w:jc w:val="both"/>
      </w:pPr>
      <w:r>
        <w:rPr>
          <w:sz w:val="24"/>
        </w:rPr>
        <w:t>3.</w:t>
      </w:r>
      <w:r>
        <w:rPr>
          <w:sz w:val="24"/>
        </w:rPr>
        <w:t>未经甲方书面同意，乙方不得擅自向第三方转让其主体性和关键性合同义务。</w:t>
      </w:r>
    </w:p>
    <w:p>
      <w:pPr>
        <w:pStyle w:val="null3"/>
        <w:ind w:firstLine="480"/>
        <w:jc w:val="both"/>
      </w:pPr>
      <w:r>
        <w:rPr>
          <w:sz w:val="24"/>
        </w:rPr>
        <w:t>4.</w:t>
      </w:r>
      <w:r>
        <w:rPr>
          <w:sz w:val="24"/>
        </w:rPr>
        <w:t>本合同一式份，具有同等法律效力，甲方执份、乙方执份，采购代理机构执壹份。</w:t>
      </w:r>
    </w:p>
    <w:p>
      <w:pPr>
        <w:pStyle w:val="null3"/>
        <w:ind w:firstLine="480"/>
        <w:jc w:val="both"/>
      </w:pPr>
      <w:r>
        <w:rPr>
          <w:sz w:val="24"/>
        </w:rPr>
        <w:t>5.</w:t>
      </w:r>
      <w:r>
        <w:rPr>
          <w:sz w:val="24"/>
        </w:rPr>
        <w:t>本合同（含附件）共计页，缺页之合同为无效合同。</w:t>
      </w:r>
    </w:p>
    <w:p>
      <w:pPr>
        <w:pStyle w:val="null3"/>
        <w:ind w:firstLine="480"/>
        <w:jc w:val="both"/>
      </w:pPr>
      <w:r>
        <w:rPr>
          <w:sz w:val="24"/>
        </w:rPr>
        <w:t>6.</w:t>
      </w:r>
      <w:r>
        <w:rPr>
          <w:sz w:val="24"/>
        </w:rPr>
        <w:t>本合同签约履约地点：</w:t>
      </w:r>
      <w:r>
        <w:rPr>
          <w:sz w:val="24"/>
          <w:u w:val="single"/>
        </w:rPr>
        <w:t>广东省佛山市南海区</w:t>
      </w:r>
      <w:r>
        <w:rPr>
          <w:sz w:val="24"/>
        </w:rPr>
        <w:t>。</w:t>
      </w:r>
    </w:p>
    <w:p>
      <w:pPr>
        <w:pStyle w:val="null3"/>
        <w:ind w:firstLine="480"/>
        <w:jc w:val="both"/>
      </w:pPr>
      <w:r>
        <w:rPr>
          <w:sz w:val="24"/>
        </w:rPr>
        <w:t>7.</w:t>
      </w:r>
      <w:r>
        <w:rPr>
          <w:sz w:val="24"/>
        </w:rPr>
        <w:t>本合同所指“书面通知”包括但不限于短信、电子邮件等数据电文的通知形式，到达时间以民事诉讼法的规定为准，但进行书面通知前后，通知方均有义务电话确认通知事项。</w:t>
      </w:r>
    </w:p>
    <w:p>
      <w:pPr>
        <w:pStyle w:val="null3"/>
        <w:ind w:firstLine="480"/>
        <w:jc w:val="both"/>
      </w:pPr>
      <w:r>
        <w:rPr>
          <w:sz w:val="24"/>
        </w:rPr>
        <w:t>8.</w:t>
      </w:r>
      <w:r>
        <w:rPr>
          <w:sz w:val="24"/>
        </w:rPr>
        <w:t>双方均已对以上各条款及附件作充分了解，并明确理解由此而产生的相关权责。</w:t>
      </w:r>
    </w:p>
    <w:p>
      <w:pPr>
        <w:pStyle w:val="null3"/>
        <w:ind w:firstLine="480"/>
        <w:jc w:val="both"/>
      </w:pPr>
      <w:r>
        <w:rPr>
          <w:sz w:val="24"/>
        </w:rPr>
        <w:t>（以下无正文）</w:t>
      </w:r>
    </w:p>
    <w:p>
      <w:pPr>
        <w:pStyle w:val="null3"/>
        <w:jc w:val="both"/>
      </w:pPr>
      <w:r>
        <w:rPr/>
        <w:t xml:space="preserve"> </w:t>
      </w:r>
    </w:p>
    <w:p>
      <w:pPr>
        <w:pStyle w:val="null3"/>
        <w:jc w:val="both"/>
      </w:pPr>
      <w:r>
        <w:rPr/>
        <w:t xml:space="preserve"> </w:t>
      </w:r>
    </w:p>
    <w:p>
      <w:pPr>
        <w:pStyle w:val="null3"/>
        <w:ind w:firstLine="480"/>
        <w:jc w:val="both"/>
      </w:pPr>
      <w:r>
        <w:rPr>
          <w:sz w:val="24"/>
        </w:rPr>
        <w:t>合同鉴证单位：广东信诚招标代理咨询有限公司佛山分公司（盖公章）</w:t>
      </w:r>
    </w:p>
    <w:p>
      <w:pPr>
        <w:pStyle w:val="null3"/>
        <w:ind w:firstLine="480"/>
        <w:jc w:val="both"/>
      </w:pPr>
      <w:r>
        <w:rPr>
          <w:sz w:val="24"/>
        </w:rPr>
        <w:t>合同鉴证意见：本合同条款与招标文件相符。</w:t>
      </w:r>
    </w:p>
    <w:p>
      <w:pPr>
        <w:pStyle w:val="null3"/>
        <w:ind w:firstLine="480"/>
        <w:jc w:val="both"/>
      </w:pPr>
      <w:r>
        <w:rPr>
          <w:sz w:val="24"/>
        </w:rPr>
        <w:t>经办人（签名）：</w:t>
      </w:r>
    </w:p>
    <w:p>
      <w:pPr>
        <w:pStyle w:val="null3"/>
        <w:ind w:firstLine="480"/>
        <w:jc w:val="both"/>
      </w:pPr>
      <w:r>
        <w:rPr>
          <w:sz w:val="24"/>
        </w:rPr>
        <w:t>合同鉴证日期：</w:t>
      </w:r>
      <w:r>
        <w:rPr>
          <w:sz w:val="24"/>
        </w:rPr>
        <w:t xml:space="preserve">    </w:t>
      </w:r>
      <w:r>
        <w:rPr>
          <w:sz w:val="24"/>
        </w:rPr>
        <w:t>年</w:t>
      </w:r>
      <w:r>
        <w:rPr>
          <w:sz w:val="24"/>
        </w:rPr>
        <w:t xml:space="preserve">  </w:t>
      </w:r>
      <w:r>
        <w:rPr>
          <w:sz w:val="24"/>
        </w:rPr>
        <w:t>月</w:t>
      </w:r>
      <w:r>
        <w:rPr>
          <w:sz w:val="24"/>
        </w:rPr>
        <w:t xml:space="preserve">  </w:t>
      </w:r>
      <w:r>
        <w:rPr>
          <w:sz w:val="24"/>
        </w:rPr>
        <w:t>日</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4296"/>
        <w:gridCol w:w="4010"/>
      </w:tblGrid>
      <w:tr>
        <w:tc>
          <w:tcPr>
            <w:tcW w:type="dxa" w:w="4296"/>
            <w:tcBorders>
              <w:top w:val="none" w:color="000000" w:sz="4"/>
              <w:left w:val="none" w:color="000000" w:sz="4"/>
              <w:bottom w:val="none" w:color="000000" w:sz="4"/>
              <w:right w:val="dashed" w:color="000000" w:sz="4"/>
            </w:tcBorders>
            <w:tcMar>
              <w:top w:type="dxa" w:w="0"/>
              <w:left w:type="dxa" w:w="90"/>
              <w:bottom w:type="dxa" w:w="0"/>
              <w:right w:type="dxa" w:w="90"/>
            </w:tcMar>
            <w:vAlign w:val="top"/>
          </w:tcPr>
          <w:p>
            <w:pPr>
              <w:pStyle w:val="null3"/>
              <w:jc w:val="both"/>
            </w:pPr>
            <w:r>
              <w:rPr>
                <w:sz w:val="24"/>
                <w:b/>
              </w:rPr>
              <w:t>甲方（盖章）：</w:t>
            </w:r>
          </w:p>
          <w:p>
            <w:pPr>
              <w:pStyle w:val="null3"/>
              <w:jc w:val="both"/>
            </w:pPr>
            <w:r>
              <w:rPr>
                <w:sz w:val="19"/>
              </w:rPr>
              <w:t xml:space="preserve"> </w:t>
            </w:r>
          </w:p>
          <w:p>
            <w:pPr>
              <w:pStyle w:val="null3"/>
              <w:jc w:val="both"/>
            </w:pPr>
            <w:r>
              <w:rPr>
                <w:sz w:val="24"/>
              </w:rPr>
              <w:t>代表：</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010"/>
            <w:tcBorders>
              <w:top w:val="none" w:color="000000" w:sz="4"/>
              <w:left w:val="none" w:color="000000" w:sz="4"/>
              <w:bottom w:val="none" w:color="000000" w:sz="4"/>
              <w:right w:val="none" w:color="000000" w:sz="4"/>
            </w:tcBorders>
            <w:tcMar>
              <w:top w:type="dxa" w:w="0"/>
              <w:left w:type="dxa" w:w="90"/>
              <w:bottom w:type="dxa" w:w="0"/>
              <w:right w:type="dxa" w:w="90"/>
            </w:tcMar>
            <w:vAlign w:val="top"/>
          </w:tcPr>
          <w:p>
            <w:pPr>
              <w:pStyle w:val="null3"/>
              <w:jc w:val="both"/>
            </w:pPr>
            <w:r>
              <w:rPr>
                <w:sz w:val="24"/>
                <w:b/>
              </w:rPr>
              <w:t>乙方（盖章）：</w:t>
            </w:r>
          </w:p>
          <w:p>
            <w:pPr>
              <w:pStyle w:val="null3"/>
              <w:jc w:val="both"/>
            </w:pPr>
            <w:r>
              <w:rPr>
                <w:sz w:val="24"/>
              </w:rPr>
              <w:t>代表：</w:t>
            </w:r>
          </w:p>
          <w:p>
            <w:pPr>
              <w:pStyle w:val="null3"/>
              <w:jc w:val="both"/>
            </w:pPr>
            <w:r>
              <w:rPr>
                <w:sz w:val="24"/>
              </w:rPr>
              <w:t>地址：</w:t>
            </w:r>
          </w:p>
          <w:p>
            <w:pPr>
              <w:pStyle w:val="null3"/>
              <w:jc w:val="both"/>
            </w:pPr>
            <w:r>
              <w:rPr>
                <w:sz w:val="24"/>
              </w:rPr>
              <w:t>电话：</w:t>
            </w:r>
          </w:p>
          <w:p>
            <w:pPr>
              <w:pStyle w:val="null3"/>
              <w:jc w:val="both"/>
            </w:pPr>
            <w:r>
              <w:rPr>
                <w:sz w:val="24"/>
              </w:rPr>
              <w:t>传真：</w:t>
            </w:r>
          </w:p>
          <w:p>
            <w:pPr>
              <w:pStyle w:val="null3"/>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296"/>
            <w:tcBorders>
              <w:top w:val="none" w:color="000000" w:sz="4"/>
              <w:left w:val="none" w:color="000000" w:sz="4"/>
              <w:bottom w:val="single" w:color="FFFFFF" w:sz="4"/>
              <w:right w:val="dashed" w:color="000000" w:sz="4"/>
            </w:tcBorders>
            <w:tcMar>
              <w:top w:type="dxa" w:w="0"/>
              <w:left w:type="dxa" w:w="90"/>
              <w:bottom w:type="dxa" w:w="0"/>
              <w:right w:type="dxa" w:w="90"/>
            </w:tcMar>
            <w:vAlign w:val="top"/>
          </w:tcPr>
          <w:p>
            <w:pPr>
              <w:pStyle w:val="null3"/>
              <w:jc w:val="both"/>
            </w:pPr>
          </w:p>
        </w:tc>
        <w:tc>
          <w:tcPr>
            <w:tcW w:type="dxa" w:w="4010"/>
            <w:tcBorders>
              <w:top w:val="none" w:color="000000" w:sz="4"/>
              <w:left w:val="none" w:color="000000" w:sz="4"/>
              <w:bottom w:val="single" w:color="FFFFFF" w:sz="4"/>
              <w:right w:val="none" w:color="000000" w:sz="4"/>
            </w:tcBorders>
            <w:tcMar>
              <w:top w:type="dxa" w:w="0"/>
              <w:left w:type="dxa" w:w="90"/>
              <w:bottom w:type="dxa" w:w="0"/>
              <w:right w:type="dxa" w:w="90"/>
            </w:tcMar>
            <w:vAlign w:val="top"/>
          </w:tcPr>
          <w:p>
            <w:pPr>
              <w:pStyle w:val="null3"/>
              <w:jc w:val="both"/>
            </w:pPr>
            <w:r>
              <w:rPr>
                <w:sz w:val="24"/>
                <w:b/>
              </w:rPr>
              <w:t>收款方、开票方须与乙方一致，专户为：</w:t>
            </w:r>
          </w:p>
          <w:p>
            <w:pPr>
              <w:pStyle w:val="null3"/>
              <w:jc w:val="both"/>
            </w:pPr>
            <w:r>
              <w:rPr>
                <w:sz w:val="24"/>
              </w:rPr>
              <w:t>开户名称：</w:t>
            </w:r>
          </w:p>
          <w:p>
            <w:pPr>
              <w:pStyle w:val="null3"/>
              <w:jc w:val="both"/>
            </w:pPr>
            <w:r>
              <w:rPr>
                <w:sz w:val="24"/>
              </w:rPr>
              <w:t>银行账号：</w:t>
            </w:r>
          </w:p>
          <w:p>
            <w:pPr>
              <w:pStyle w:val="null3"/>
              <w:jc w:val="both"/>
            </w:pPr>
            <w:r>
              <w:rPr>
                <w:sz w:val="24"/>
              </w:rPr>
              <w:t>开户行：</w:t>
            </w:r>
          </w:p>
        </w:tc>
      </w:tr>
    </w:tbl>
    <w:p>
      <w:pPr>
        <w:pStyle w:val="null3"/>
        <w:jc w:val="both"/>
      </w:pPr>
      <w:r>
        <w:rPr>
          <w:sz w:val="24"/>
          <w:b/>
        </w:rPr>
        <w:t>附件一《报价清单明细表》</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440605-2026-01172</w:t>
      </w:r>
    </w:p>
    <w:p>
      <w:pPr>
        <w:pStyle w:val="null3"/>
        <w:jc w:val="center"/>
        <w:outlineLvl w:val="3"/>
      </w:pPr>
      <w:r>
        <w:rPr>
          <w:sz w:val="24"/>
          <w:b/>
        </w:rPr>
        <w:t>采购项目编号：</w:t>
      </w:r>
      <w:r>
        <w:rPr>
          <w:sz w:val="24"/>
          <w:b/>
        </w:rPr>
        <w:t>沥采2026006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广东信诚招标代理咨询有限公司佛山分公司</w:t>
      </w:r>
    </w:p>
    <w:p>
      <w:pPr>
        <w:pStyle w:val="null3"/>
        <w:ind w:firstLine="480"/>
      </w:pPr>
      <w:r>
        <w:rPr/>
        <w:t xml:space="preserve"> 你方组织的</w:t>
      </w:r>
      <w:r>
        <w:rPr>
          <w:u w:val="single"/>
        </w:rPr>
        <w:t>“</w:t>
      </w:r>
      <w:r>
        <w:rPr>
          <w:u w:val="single"/>
        </w:rPr>
        <w:t>新一代可信智慧医工协同中枢系统建设</w:t>
      </w:r>
      <w:r>
        <w:rPr>
          <w:u w:val="single"/>
        </w:rPr>
        <w:t>”</w:t>
      </w:r>
      <w:r>
        <w:rPr/>
        <w:t>项目的招标[采购项目编号为：</w:t>
      </w:r>
      <w:r>
        <w:rPr>
          <w:u w:val="single"/>
        </w:rPr>
        <w:t>沥采2026006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新一代可信智慧医工协同中枢系统建设</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广东信诚招标代理咨询有限公司佛山分公司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新一代可信智慧医工协同中枢系统建设</w:t>
      </w:r>
      <w:r>
        <w:rPr/>
        <w:t>”项目采购[采购项目编号为</w:t>
      </w:r>
      <w:r>
        <w:rPr/>
        <w:t>沥采2026006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佛山大学附属第三医院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广东信诚招标代理咨询有限公司佛山分公司</w:t>
      </w:r>
    </w:p>
    <w:p>
      <w:pPr>
        <w:pStyle w:val="null3"/>
        <w:ind w:firstLine="480"/>
      </w:pPr>
      <w:r>
        <w:rPr/>
        <w:t xml:space="preserve"> 如果我方在贵采购代理机构组织的</w:t>
      </w:r>
      <w:r>
        <w:rPr/>
        <w:t>新一代可信智慧医工协同中枢系统建设</w:t>
      </w:r>
      <w:r>
        <w:rPr/>
        <w:t>招标中获中标（采购项目编号：</w:t>
      </w:r>
      <w:r>
        <w:rPr/>
        <w:t>沥采2026006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广东信诚招标代理咨询有限公司佛山分公司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广东信诚招标代理咨询有限公司佛山分公司</w:t>
      </w:r>
    </w:p>
    <w:p>
      <w:pPr>
        <w:pStyle w:val="null3"/>
        <w:ind w:firstLine="480"/>
      </w:pPr>
      <w:r>
        <w:rPr/>
        <w:t>我单位已登记并准备参与“</w:t>
      </w:r>
      <w:r>
        <w:rPr/>
        <w:t>新一代可信智慧医工协同中枢系统建设</w:t>
      </w:r>
      <w:r>
        <w:rPr/>
        <w:t>”项目（采购项目编号：</w:t>
      </w:r>
      <w:r>
        <w:rPr/>
        <w:t>沥采2026006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