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440001-2026-10551</w:t>
      </w:r>
    </w:p>
    <w:p>
      <w:pPr>
        <w:pStyle w:val="null3"/>
        <w:jc w:val="center"/>
        <w:outlineLvl w:val="3"/>
      </w:pPr>
      <w:r>
        <w:rPr>
          <w:sz w:val="24"/>
          <w:b/>
        </w:rPr>
        <w:t>采购项目编号：</w:t>
      </w:r>
      <w:r>
        <w:rPr>
          <w:sz w:val="24"/>
          <w:b/>
        </w:rPr>
        <w:t>3587-2612GDG30306</w:t>
      </w:r>
    </w:p>
    <w:p>
      <w:pPr>
        <w:pStyle w:val="null3"/>
        <w:jc w:val="center"/>
        <w:outlineLvl w:val="3"/>
      </w:pPr>
      <w:r>
        <w:rPr>
          <w:sz w:val="24"/>
          <w:b/>
        </w:rPr>
        <w:t>项目名称：</w:t>
      </w:r>
      <w:r>
        <w:rPr>
          <w:sz w:val="24"/>
          <w:b/>
        </w:rPr>
        <w:t>2026年省级海洋生态综合在线监测站点建设</w:t>
      </w:r>
    </w:p>
    <w:p>
      <w:pPr>
        <w:pStyle w:val="null3"/>
        <w:jc w:val="center"/>
        <w:outlineLvl w:val="3"/>
      </w:pPr>
      <w:r>
        <w:rPr>
          <w:sz w:val="24"/>
          <w:b/>
        </w:rPr>
        <w:t>采购人：</w:t>
      </w:r>
      <w:r>
        <w:rPr>
          <w:sz w:val="24"/>
          <w:b/>
        </w:rPr>
        <w:t>广东省地质环境监测总站</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广东信诚招标代理咨询有限公司</w:t>
      </w:r>
      <w:r>
        <w:rPr/>
        <w:t>受</w:t>
      </w:r>
      <w:r>
        <w:rPr/>
        <w:t>广东省地质环境监测总站</w:t>
      </w:r>
      <w:r>
        <w:rPr/>
        <w:t>的委托，采用</w:t>
      </w:r>
      <w:r>
        <w:rPr/>
        <w:t>公开招标</w:t>
      </w:r>
      <w:r>
        <w:rPr/>
        <w:t>方式组织采购</w:t>
      </w:r>
      <w:r>
        <w:rPr/>
        <w:t>2026年省级海洋生态综合在线监测站点建设</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2026年省级海洋生态综合在线监测站点建设</w:t>
      </w:r>
    </w:p>
    <w:p>
      <w:pPr>
        <w:pStyle w:val="null3"/>
        <w:ind w:firstLine="480"/>
      </w:pPr>
      <w:r>
        <w:rPr/>
        <w:t>采购计划编号：</w:t>
      </w:r>
      <w:r>
        <w:rPr/>
        <w:t>440001-2026-10551</w:t>
      </w:r>
    </w:p>
    <w:p>
      <w:pPr>
        <w:pStyle w:val="null3"/>
        <w:ind w:firstLine="480"/>
      </w:pPr>
      <w:r>
        <w:rPr/>
        <w:t>采购项目编号：</w:t>
      </w:r>
      <w:r>
        <w:rPr/>
        <w:t>3587-2612GDG30306</w:t>
      </w:r>
    </w:p>
    <w:p>
      <w:pPr>
        <w:pStyle w:val="null3"/>
        <w:ind w:firstLine="480"/>
      </w:pPr>
      <w:r>
        <w:rPr/>
        <w:t>采购方式：</w:t>
      </w:r>
      <w:r>
        <w:rPr/>
        <w:t>公开招标</w:t>
      </w:r>
    </w:p>
    <w:p>
      <w:pPr>
        <w:pStyle w:val="null3"/>
        <w:ind w:firstLine="480"/>
      </w:pPr>
      <w:r>
        <w:rPr/>
        <w:t>预算金额：</w:t>
      </w:r>
      <w:r>
        <w:rPr/>
        <w:t>2,779,000.00</w:t>
      </w:r>
      <w:r>
        <w:rPr/>
        <w:t>元</w:t>
      </w:r>
    </w:p>
    <w:p>
      <w:pPr>
        <w:pStyle w:val="null3"/>
        <w:outlineLvl w:val="3"/>
      </w:pPr>
      <w:r>
        <w:rPr>
          <w:sz w:val="24"/>
          <w:b/>
        </w:rPr>
        <w:t>2.项目内容及需求情况（采购项目技术规格、参数及要求）</w:t>
      </w:r>
    </w:p>
    <w:p>
      <w:pPr>
        <w:pStyle w:val="null3"/>
      </w:pPr>
      <w:r>
        <w:rPr/>
        <w:t>采购包1(2026年省级海洋生态综合在线监测站点建设):</w:t>
      </w:r>
    </w:p>
    <w:p>
      <w:pPr>
        <w:pStyle w:val="null3"/>
      </w:pPr>
      <w:r>
        <w:rPr/>
        <w:t>采购包预算金额：2,779,000.00元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海洋水文气象仪器设备</w:t>
            </w:r>
          </w:p>
        </w:tc>
        <w:tc>
          <w:tcPr>
            <w:tcW w:type="dxa" w:w="2136"/>
          </w:tcPr>
          <w:p>
            <w:pPr>
              <w:pStyle w:val="null3"/>
            </w:pPr>
            <w:r>
              <w:rPr/>
              <w:t>海洋生态综合在线监测站点</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应用软件</w:t>
            </w:r>
          </w:p>
        </w:tc>
        <w:tc>
          <w:tcPr>
            <w:tcW w:type="dxa" w:w="2136"/>
          </w:tcPr>
          <w:p>
            <w:pPr>
              <w:pStyle w:val="null3"/>
            </w:pPr>
            <w:r>
              <w:rPr/>
              <w:t>数据接收软件</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t>序号</w:t>
            </w:r>
          </w:p>
        </w:tc>
        <w:tc>
          <w:tcPr>
            <w:tcW w:type="dxa" w:w="1661"/>
          </w:tcPr>
          <w:p>
            <w:pPr>
              <w:pStyle w:val="null3"/>
              <w:jc w:val="center"/>
            </w:pPr>
            <w:r>
              <w:rPr/>
              <w:t>品目名称</w:t>
            </w:r>
          </w:p>
        </w:tc>
        <w:tc>
          <w:tcPr>
            <w:tcW w:type="dxa" w:w="1661"/>
          </w:tcPr>
          <w:p>
            <w:pPr>
              <w:pStyle w:val="null3"/>
              <w:jc w:val="center"/>
            </w:pPr>
            <w:r>
              <w:rPr/>
              <w:t>采购标的</w:t>
            </w:r>
          </w:p>
        </w:tc>
        <w:tc>
          <w:tcPr>
            <w:tcW w:type="dxa" w:w="1661"/>
          </w:tcPr>
          <w:p>
            <w:pPr>
              <w:pStyle w:val="null3"/>
              <w:jc w:val="center"/>
            </w:pPr>
            <w:r>
              <w:rPr/>
              <w:t>产品名称</w:t>
            </w:r>
          </w:p>
        </w:tc>
        <w:tc>
          <w:tcPr>
            <w:tcW w:type="dxa" w:w="1661"/>
          </w:tcPr>
          <w:p>
            <w:pPr>
              <w:pStyle w:val="null3"/>
              <w:jc w:val="center"/>
            </w:pPr>
            <w:r>
              <w:rPr/>
              <w:t>在中国境内生产的组件成本占比达到规定比例（%）</w:t>
            </w:r>
          </w:p>
        </w:tc>
      </w:tr>
      <w:tr>
        <w:tc>
          <w:tcPr>
            <w:tcW w:type="dxa" w:w="1661"/>
          </w:tcPr>
          <w:p>
            <w:pPr>
              <w:pStyle w:val="null3"/>
              <w:jc w:val="center"/>
            </w:pPr>
            <w:r>
              <w:rPr/>
              <w:t>1</w:t>
            </w:r>
          </w:p>
        </w:tc>
        <w:tc>
          <w:tcPr>
            <w:tcW w:type="dxa" w:w="1661"/>
          </w:tcPr>
          <w:p>
            <w:pPr>
              <w:pStyle w:val="null3"/>
              <w:jc w:val="left"/>
            </w:pPr>
            <w:r>
              <w:rPr/>
              <w:t>海洋水文气象仪器设备</w:t>
            </w:r>
          </w:p>
        </w:tc>
        <w:tc>
          <w:tcPr>
            <w:tcW w:type="dxa" w:w="1661"/>
          </w:tcPr>
          <w:p>
            <w:pPr>
              <w:pStyle w:val="null3"/>
              <w:jc w:val="left"/>
            </w:pPr>
            <w:r>
              <w:rPr/>
              <w:t>海洋生态综合在线监测站点</w:t>
            </w:r>
          </w:p>
        </w:tc>
        <w:tc>
          <w:tcPr>
            <w:tcW w:type="dxa" w:w="1661"/>
          </w:tcPr>
          <w:p>
            <w:pPr>
              <w:pStyle w:val="null3"/>
              <w:jc w:val="left"/>
            </w:pPr>
            <w:r>
              <w:rPr/>
              <w:t>海洋生态综合在线监测站点</w:t>
            </w:r>
          </w:p>
        </w:tc>
        <w:tc>
          <w:tcPr>
            <w:tcW w:type="dxa" w:w="1661"/>
          </w:tcPr>
          <w:p>
            <w:pPr>
              <w:pStyle w:val="null3"/>
              <w:jc w:val="right"/>
            </w:pPr>
            <w:r>
              <w:rPr/>
              <w:t>80</w:t>
            </w:r>
          </w:p>
        </w:tc>
      </w:tr>
      <w:tr>
        <w:tc>
          <w:tcPr>
            <w:tcW w:type="dxa" w:w="1661"/>
          </w:tcPr>
          <w:p>
            <w:pPr>
              <w:pStyle w:val="null3"/>
              <w:jc w:val="center"/>
            </w:pPr>
            <w:r>
              <w:rPr/>
              <w:t>2</w:t>
            </w:r>
          </w:p>
        </w:tc>
        <w:tc>
          <w:tcPr>
            <w:tcW w:type="dxa" w:w="1661"/>
          </w:tcPr>
          <w:p>
            <w:pPr>
              <w:pStyle w:val="null3"/>
              <w:jc w:val="left"/>
            </w:pPr>
            <w:r>
              <w:rPr/>
              <w:t>应用软件</w:t>
            </w:r>
          </w:p>
        </w:tc>
        <w:tc>
          <w:tcPr>
            <w:tcW w:type="dxa" w:w="1661"/>
          </w:tcPr>
          <w:p>
            <w:pPr>
              <w:pStyle w:val="null3"/>
              <w:jc w:val="left"/>
            </w:pPr>
            <w:r>
              <w:rPr/>
              <w:t>数据接收软件</w:t>
            </w:r>
          </w:p>
        </w:tc>
        <w:tc>
          <w:tcPr>
            <w:tcW w:type="dxa" w:w="1661"/>
          </w:tcPr>
          <w:p>
            <w:pPr>
              <w:pStyle w:val="null3"/>
              <w:jc w:val="left"/>
            </w:pPr>
            <w:r>
              <w:rPr/>
              <w:t>数据接收软件</w:t>
            </w:r>
          </w:p>
        </w:tc>
        <w:tc>
          <w:tcPr>
            <w:tcW w:type="dxa" w:w="1661"/>
          </w:tcPr>
          <w:p>
            <w:pPr>
              <w:pStyle w:val="null3"/>
              <w:jc w:val="right"/>
            </w:pPr>
            <w:r>
              <w:rPr/>
              <w:t>80</w:t>
            </w:r>
          </w:p>
        </w:tc>
      </w:tr>
    </w:tbl>
    <w:p>
      <w:pPr>
        <w:pStyle w:val="null3"/>
      </w:pPr>
      <w:r>
        <w:rPr/>
        <w:t>本采购包不接受联合体投标</w:t>
      </w:r>
    </w:p>
    <w:p>
      <w:pPr>
        <w:pStyle w:val="null3"/>
      </w:pPr>
      <w:r>
        <w:rPr/>
        <w:t>合同分包：不允许合同分包</w:t>
      </w:r>
    </w:p>
    <w:p>
      <w:pPr>
        <w:pStyle w:val="null3"/>
      </w:pPr>
      <w:r>
        <w:rPr/>
        <w:t>合同履行期限：本项目需在 2026 年 7 月 31 日前完成项目初步验收评审，在 2026 年 12 月 31 日前完成终期验收评审，并按财政资金项目资料归档有关规定汇交成果报告等资料。</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书面声明（格式自定）或提供以下资料：提供投标文件提交截止日前12个月内任意1个月依法缴纳税收和社会保障资金的相关材料。如依法免税或不需要缴纳社会保障资金的，提供相应证明材料；</w:t>
      </w:r>
    </w:p>
    <w:p>
      <w:pPr>
        <w:pStyle w:val="null3"/>
      </w:pPr>
      <w:r>
        <w:rPr/>
        <w:t>3）具有良好的商业信誉和健全的财务会计制度：提供书面声明（格式自定）或提供以下资料：提供2024年度或2025年度的财务状况报告或基本开户行出具的资信证明或财政部门认可的政府采购专业担保机构出具的担保函,成立不足一年的单位可以提供响应文件提交截止前上一季度或月份财务会计报表；</w:t>
      </w:r>
    </w:p>
    <w:p>
      <w:pPr>
        <w:pStyle w:val="null3"/>
      </w:pPr>
      <w:r>
        <w:rPr/>
        <w:t>4）履行合同所必需的设备和专业技术能力：提供书面声明（格式自定）或相关证明材料；</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6）法律、行政法规规定的其他条件：按投标函相关承诺要求内容。</w:t>
      </w:r>
    </w:p>
    <w:p>
      <w:pPr>
        <w:pStyle w:val="null3"/>
        <w:outlineLvl w:val="3"/>
      </w:pPr>
      <w:r>
        <w:rPr>
          <w:sz w:val="24"/>
          <w:b/>
        </w:rPr>
        <w:t>2.落实政府采购政策需满足的资格要求：</w:t>
      </w:r>
    </w:p>
    <w:p>
      <w:pPr>
        <w:pStyle w:val="null3"/>
        <w:jc w:val="left"/>
      </w:pPr>
      <w:r>
        <w:rPr/>
        <w:t>采购包1（2026年省级海洋生态综合在线监测站点建设）：</w:t>
      </w:r>
      <w:r>
        <w:rPr/>
        <w:t>本采购包属于专门面向中小企业采购的项目，中小企业以供应商填写的《中小企业声明函》（见投标文件格式）为判定标准，残疾人福利性单位以供应商提供的《残疾人福利性单位声明函》（见投标文件格式）为判定标准，监狱企业须供应商提供由省级以上监狱管理局、戒毒管理局（含新疆生产建设兵团）出具的属于监狱企业的证明文件。本采购包的中小企业划分标准所属行业为：工业。</w:t>
      </w:r>
    </w:p>
    <w:p>
      <w:pPr>
        <w:pStyle w:val="null3"/>
        <w:outlineLvl w:val="3"/>
      </w:pPr>
      <w:r>
        <w:rPr>
          <w:sz w:val="24"/>
          <w:b/>
        </w:rPr>
        <w:t>3.本项目特定的资格要求：</w:t>
      </w:r>
    </w:p>
    <w:p>
      <w:pPr>
        <w:pStyle w:val="null3"/>
      </w:pPr>
      <w:r>
        <w:rPr/>
        <w:t>采购包1（2026年省级海洋生态综合在线监测站点建设）：</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需满足本项要求。）。</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3)本采购包不接受联合体投标。未以联合体形式投标或提供书面声明（格式自定）。</w:t>
      </w:r>
    </w:p>
    <w:p>
      <w:pPr>
        <w:pStyle w:val="null3"/>
      </w:pPr>
      <w:r>
        <w:rPr/>
        <w:t>4)本采购包不允许分包。提供书面声明（格式自定）。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中国采购与招标网（http://www.chinabidding.com.cn），中国财经报网 （http://www.cfen.com.cn/），广东信诚招标代理咨询有限公司(http://www.gdxczb.cn/)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广东省地质环境监测总站</w:t>
      </w:r>
    </w:p>
    <w:p>
      <w:pPr>
        <w:pStyle w:val="null3"/>
        <w:ind w:firstLine="480"/>
      </w:pPr>
      <w:r>
        <w:rPr/>
        <w:t xml:space="preserve"> 地址：</w:t>
      </w:r>
      <w:r>
        <w:rPr/>
        <w:t>广州市海珠区磨碟沙大街38号</w:t>
      </w:r>
    </w:p>
    <w:p>
      <w:pPr>
        <w:pStyle w:val="null3"/>
        <w:ind w:firstLine="480"/>
      </w:pPr>
      <w:r>
        <w:rPr/>
        <w:t xml:space="preserve"> 联系方式：</w:t>
      </w:r>
      <w:r>
        <w:rPr/>
        <w:t>020-87731992</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注：</w:t>
      </w:r>
    </w:p>
    <w:p>
      <w:pPr>
        <w:pStyle w:val="null3"/>
        <w:ind w:firstLine="400"/>
      </w:pPr>
      <w:r>
        <w:rPr>
          <w:sz w:val="21"/>
        </w:rPr>
        <w:t>1.带“★”号条款为实质性条款，若有任何一条负偏离或不满足则导致投标（响应）无效。</w:t>
      </w:r>
    </w:p>
    <w:p>
      <w:pPr>
        <w:pStyle w:val="null3"/>
        <w:ind w:firstLine="400"/>
      </w:pPr>
      <w:r>
        <w:rPr>
          <w:sz w:val="21"/>
        </w:rPr>
        <w:t>2.带“▲”号条款为重要技术参数（如有），若有部分“▲”条款未响应或不满足，将根据评审要求影响其得分，但不作为无效投标（响应）条款。</w:t>
      </w:r>
    </w:p>
    <w:p>
      <w:pPr>
        <w:pStyle w:val="null3"/>
        <w:ind w:firstLine="400"/>
      </w:pPr>
      <w:r>
        <w:rPr>
          <w:sz w:val="21"/>
        </w:rPr>
        <w:t>3.投标人必须对项目全部内容进行投标，不允许只对其中部分内容进行投标。如有缺漏的，将导致投标无效。</w:t>
      </w:r>
    </w:p>
    <w:p>
      <w:pPr>
        <w:pStyle w:val="null3"/>
        <w:ind w:firstLine="400"/>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关于印发节能产品政府采购品目清单的通知》（财库〔2019〕19号）、《关于印发环境标志产品政府采购品目清单的通知》（财库〔2019〕18号）、《国务院办公厅关于在政府采购中实施本国产品标准及相关政策的通知》（国办发〔2025〕34号）、《关于推动解决政府采购异常低价问题的通知》（财库〔2026〕2号）等。</w:t>
      </w:r>
    </w:p>
    <w:p>
      <w:pPr>
        <w:pStyle w:val="null3"/>
        <w:ind w:firstLine="400"/>
      </w:pPr>
      <w:r>
        <w:rPr>
          <w:sz w:val="21"/>
        </w:rPr>
        <w:t>5.投标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详见“格式五：关于符合本国产品标准的声明函等有关证明文件（如适用）”中“附件3”）。如投标供应商于投标文件中未按要求出具有效的“关于符合本国产品标准的声明函”和“关于本国产品比例的承诺函（如适用）”，则无法享受本国产品20%价格扣除，所造成评审不利的后果由投标供应商自行承担。</w:t>
      </w:r>
    </w:p>
    <w:p>
      <w:pPr>
        <w:pStyle w:val="null3"/>
        <w:ind w:firstLine="400"/>
      </w:pPr>
      <w:r>
        <w:rPr>
          <w:sz w:val="21"/>
        </w:rPr>
        <w:t>6.以设备技术要求序号最细的（如4.1与4.1.1之间，4.1.1为最细序号）作为一项参数，以计算技术参数响应数量。</w:t>
      </w:r>
    </w:p>
    <w:p>
      <w:pPr>
        <w:pStyle w:val="null3"/>
        <w:ind w:firstLine="400"/>
      </w:pPr>
      <w:r>
        <w:rPr>
          <w:sz w:val="21"/>
        </w:rPr>
        <w:t>7.投标人须对本采购包为单位的货物和服务进行整体响应，任何只对包组内其中一部分内容进行的响应都被视为无效响应。</w:t>
      </w:r>
    </w:p>
    <w:p>
      <w:pPr>
        <w:pStyle w:val="null3"/>
        <w:ind w:firstLine="400"/>
      </w:pPr>
      <w:r>
        <w:rPr>
          <w:sz w:val="21"/>
        </w:rPr>
        <w:t>8.投标人应在分项报价表中清晰地列明“标的名称、数量、单价”。</w:t>
      </w:r>
    </w:p>
    <w:p>
      <w:pPr>
        <w:pStyle w:val="null3"/>
        <w:ind w:firstLine="402"/>
      </w:pPr>
      <w:r>
        <w:rPr>
          <w:sz w:val="21"/>
          <w:b/>
        </w:rPr>
        <w:t>（一）项目目标</w:t>
      </w:r>
    </w:p>
    <w:p>
      <w:pPr>
        <w:pStyle w:val="null3"/>
        <w:ind w:firstLine="400"/>
      </w:pPr>
      <w:r>
        <w:rPr>
          <w:sz w:val="21"/>
        </w:rPr>
        <w:t>“2026年省级海洋生态综合在线监测站点建设”项目的实施是应对广东省海洋生态环境挑战、支撑高质量发展的迫切需要。作为海洋经济第一大省与粤港澳大湾区所在地，我省海洋战略地位至关重要，但同样面临着陆源污染、生态灾害频发、典型生态系统退化等严峻压力。然而，现有监测体系存在覆盖不全、手段传统、数据零散等短板，难以满足实时感知、精准预警和系统评估的现代化管理需求。建设省级海洋生态综合在线监测站点，旨在实现从间断式人工监测向连续式智能监控的根本性转变。通过获取高精度、高频次的综合监测数据，能为海洋环境管理、灾害应急响应与生态保护修复提供无可替代的科学依据，驱动海洋治理能力迈向现代化。</w:t>
      </w:r>
    </w:p>
    <w:p>
      <w:pPr>
        <w:pStyle w:val="null3"/>
        <w:ind w:firstLine="400"/>
      </w:pPr>
      <w:r>
        <w:rPr>
          <w:sz w:val="21"/>
        </w:rPr>
        <w:t>本项目建设遵循“基础先行、设备同步、数据贯通、效能验证”的技术路线。首先对两个代表性岸基站点进行基础设施建设，重点完成供电、防雷与网络系统升级，为高精度仪器提供稳定运行环境。采购并安装用于监测风暴潮、波浪越浪的专用水文设备，以及集成水温、盐度、叶绿素、pH等关键生态要素的在线传感器，并部署智能视频监控系统。实现所有感知设备的系统集成与数据联动，通过升级数据传输网络，确保多源异构观测数据实时、稳定、安全地回传至省级管理平台。最终通过为期三个月的试运行，全面评估系统稳定性与数据准确性，形成具备业务化运行能力的岸基综合监测站，全面提升近岸海洋生态与防灾减灾的精准监测能力。</w:t>
      </w:r>
    </w:p>
    <w:p>
      <w:pPr>
        <w:pStyle w:val="null3"/>
        <w:ind w:firstLine="402"/>
      </w:pPr>
      <w:r>
        <w:rPr>
          <w:sz w:val="21"/>
          <w:b/>
        </w:rPr>
        <w:t>（二）工作要求</w:t>
      </w:r>
    </w:p>
    <w:p>
      <w:pPr>
        <w:pStyle w:val="null3"/>
        <w:ind w:firstLine="400"/>
      </w:pPr>
      <w:r>
        <w:rPr>
          <w:sz w:val="21"/>
        </w:rPr>
        <w:t>中标供应商按照采购人选取的两个代表性岸基站点，开展以近岸防灾减灾和生态综合监测为导向的提质升级；涵盖近岸风暴潮及漫滩漫堤精准监测、波浪越岸过程监测、基于智能分析的海况视频监控系统，以及关键生态要素（如水温、盐度、叶绿素、pH等）的自动化观测。</w:t>
      </w:r>
    </w:p>
    <w:p>
      <w:pPr>
        <w:pStyle w:val="null3"/>
        <w:ind w:firstLine="402"/>
      </w:pPr>
      <w:r>
        <w:rPr>
          <w:sz w:val="21"/>
          <w:b/>
        </w:rPr>
        <w:t>（三）项目依据</w:t>
      </w:r>
    </w:p>
    <w:p>
      <w:pPr>
        <w:pStyle w:val="null3"/>
        <w:ind w:firstLine="400"/>
      </w:pPr>
      <w:r>
        <w:rPr>
          <w:sz w:val="21"/>
        </w:rPr>
        <w:t>（1）《中华人民共和国海洋环境保护法》</w:t>
      </w:r>
    </w:p>
    <w:p>
      <w:pPr>
        <w:pStyle w:val="null3"/>
        <w:ind w:firstLine="400"/>
      </w:pPr>
      <w:r>
        <w:rPr>
          <w:sz w:val="21"/>
        </w:rPr>
        <w:t>（2）《生态环境监测条例》（中华人民共和国国务院令 第820号）</w:t>
      </w:r>
    </w:p>
    <w:p>
      <w:pPr>
        <w:pStyle w:val="null3"/>
        <w:ind w:firstLine="400"/>
      </w:pPr>
      <w:r>
        <w:rPr>
          <w:sz w:val="21"/>
        </w:rPr>
        <w:t>（3）《广东省海洋观测网“十四五”规划》（如广东省自然资源厅发布海洋观测相关的“十五五”规划”文件，中标供应商须按照最新要求执行。）</w:t>
      </w:r>
    </w:p>
    <w:p>
      <w:pPr>
        <w:pStyle w:val="null3"/>
        <w:ind w:firstLine="400"/>
      </w:pPr>
      <w:r>
        <w:rPr>
          <w:sz w:val="21"/>
        </w:rPr>
        <w:t>（4）《海洋调查规范 第6部分：海洋生物调查》GB/T 12763.6-2007</w:t>
      </w:r>
    </w:p>
    <w:p>
      <w:pPr>
        <w:pStyle w:val="null3"/>
        <w:ind w:firstLine="400"/>
      </w:pPr>
      <w:r>
        <w:rPr>
          <w:sz w:val="21"/>
        </w:rPr>
        <w:t>（5）《海洋调查规范 第2部分：海洋水文观测》GB/T 12763.2-2007</w:t>
      </w:r>
    </w:p>
    <w:p>
      <w:pPr>
        <w:pStyle w:val="null3"/>
        <w:ind w:firstLine="400"/>
      </w:pPr>
      <w:r>
        <w:rPr>
          <w:sz w:val="21"/>
        </w:rPr>
        <w:t>（6）《海洋监测规范 第4部分：海水分析》GB 17378.4-2007</w:t>
      </w:r>
    </w:p>
    <w:p>
      <w:pPr>
        <w:pStyle w:val="null3"/>
        <w:ind w:firstLine="400"/>
      </w:pPr>
      <w:r>
        <w:rPr>
          <w:sz w:val="21"/>
        </w:rPr>
        <w:t>（7）《近岸海域水质自动监测技术规范》（HJ 731-2014）</w:t>
      </w:r>
    </w:p>
    <w:p>
      <w:pPr>
        <w:pStyle w:val="null3"/>
        <w:ind w:firstLine="402"/>
      </w:pPr>
      <w:r>
        <w:rPr>
          <w:sz w:val="21"/>
          <w:b/>
        </w:rPr>
        <w:t>（四）项目整体技术要求</w:t>
      </w:r>
    </w:p>
    <w:p>
      <w:pPr>
        <w:pStyle w:val="null3"/>
        <w:ind w:firstLine="402"/>
      </w:pPr>
      <w:r>
        <w:rPr>
          <w:sz w:val="21"/>
          <w:b/>
        </w:rPr>
        <w:t>（1）采购内容</w:t>
      </w:r>
    </w:p>
    <w:p>
      <w:pPr>
        <w:pStyle w:val="null3"/>
        <w:ind w:firstLine="400"/>
      </w:pPr>
      <w:r>
        <w:rPr>
          <w:sz w:val="21"/>
        </w:rPr>
        <w:t>本项目采购内容为2个海洋生态综合在线监测站点，开展近岸风暴潮、漫滩漫堤、波浪越岸以及关键近岸表层海水生态要素（叶绿素、温度、盐度、溶解氧、浊度、蓝绿藻、pH值）的自动化监测以及配套的数据接收软件。具体内容如下：</w:t>
      </w:r>
    </w:p>
    <w:tbl>
      <w:tblPr>
        <w:tblW w:w="0" w:type="auto"/>
        <w:tblBorders>
          <w:top w:val="none" w:color="000000" w:sz="4"/>
          <w:left w:val="none" w:color="000000" w:sz="4"/>
          <w:bottom w:val="none" w:color="000000" w:sz="4"/>
          <w:right w:val="none" w:color="000000" w:sz="4"/>
          <w:insideH w:val="none"/>
          <w:insideV w:val="none"/>
        </w:tblBorders>
      </w:tblPr>
      <w:tblGrid>
        <w:gridCol w:w="653"/>
        <w:gridCol w:w="1193"/>
        <w:gridCol w:w="889"/>
        <w:gridCol w:w="5571"/>
      </w:tblGrid>
      <w:tr>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采购内容</w:t>
            </w:r>
          </w:p>
        </w:tc>
        <w:tc>
          <w:tcPr>
            <w:tcW w:type="dxa" w:w="8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p>
            <w:pPr>
              <w:pStyle w:val="null3"/>
              <w:jc w:val="center"/>
            </w:pPr>
            <w:r>
              <w:rPr>
                <w:sz w:val="21"/>
              </w:rPr>
              <w:t>（个）</w:t>
            </w:r>
          </w:p>
        </w:tc>
        <w:tc>
          <w:tcPr>
            <w:tcW w:type="dxa" w:w="5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海洋生态综合在线监测站点</w:t>
            </w:r>
          </w:p>
        </w:tc>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个站点包括波潮仪1套、叶绿素a传感器1套、温盐传感器1套、溶解氧传感器1套、浊度传感器1套、蓝绿藻传感器1套、pH传感器1套、高清智能视频监控1套、数据采集系统1套、数据传输系统1套、防雷系统1套、供电系统1套。</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数据接收软件</w:t>
            </w:r>
          </w:p>
        </w:tc>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02"/>
      </w:pPr>
      <w:r>
        <w:rPr>
          <w:sz w:val="21"/>
          <w:b/>
        </w:rPr>
        <w:t>（2）技术要求</w:t>
      </w:r>
    </w:p>
    <w:p>
      <w:pPr>
        <w:pStyle w:val="null3"/>
        <w:ind w:firstLine="400"/>
      </w:pPr>
      <w:r>
        <w:rPr>
          <w:sz w:val="21"/>
        </w:rPr>
        <w:t>1）基础设施建设要求</w:t>
      </w:r>
    </w:p>
    <w:p>
      <w:pPr>
        <w:pStyle w:val="null3"/>
        <w:ind w:firstLine="400"/>
      </w:pPr>
      <w:r>
        <w:rPr>
          <w:sz w:val="21"/>
        </w:rPr>
        <w:t>①　中标供应商负责在已有海洋观测站点中，通过现场踏勘调查，在指定区域选取2个具有代表性且满足安装条件的站点开展配套设施的建设，包括各仪器设备的安装支架、供电、防护和网络等基础设施建设。</w:t>
      </w:r>
    </w:p>
    <w:p>
      <w:pPr>
        <w:pStyle w:val="null3"/>
        <w:ind w:firstLine="400"/>
      </w:pPr>
      <w:r>
        <w:rPr>
          <w:sz w:val="21"/>
        </w:rPr>
        <w:t>②　供电系统升级：构建蓄电池+太阳能的方式对充电工业控制板及智能视频监控设备进行供电，实现设备不间断供电。</w:t>
      </w:r>
    </w:p>
    <w:p>
      <w:pPr>
        <w:pStyle w:val="null3"/>
        <w:ind w:firstLine="400"/>
      </w:pPr>
      <w:r>
        <w:rPr>
          <w:sz w:val="21"/>
        </w:rPr>
        <w:t>③　防雷系统升级：对户外作业的设备及站点建筑物加装防雷保护装置，防止设备因雷电灾害短路、损坏。</w:t>
      </w:r>
    </w:p>
    <w:p>
      <w:pPr>
        <w:pStyle w:val="null3"/>
        <w:ind w:firstLine="400"/>
      </w:pPr>
      <w:r>
        <w:rPr>
          <w:sz w:val="21"/>
        </w:rPr>
        <w:t>④　网络系统升级：支持移动、电信、联通无线VPDN专网卡链路数据传输，优先接入无线VPDN专网卡，保障大量数据（如视频监控、多要素监测数据）稳定传输。</w:t>
      </w:r>
    </w:p>
    <w:p>
      <w:pPr>
        <w:pStyle w:val="null3"/>
        <w:ind w:firstLine="400"/>
      </w:pPr>
      <w:r>
        <w:rPr>
          <w:sz w:val="21"/>
        </w:rPr>
        <w:t>2）观测设备集成与安装调试要求</w:t>
      </w:r>
    </w:p>
    <w:p>
      <w:pPr>
        <w:pStyle w:val="null3"/>
        <w:ind w:firstLine="400"/>
      </w:pPr>
      <w:r>
        <w:rPr>
          <w:sz w:val="21"/>
        </w:rPr>
        <w:t>①　中标供应商负责仪器设备的运输和安装调试，仪器安装位置、高度、角度需符合规范要求，确保观测数据精准；线缆铺设需规范，做好防水、防晒、防干扰处理，标识清晰。</w:t>
      </w:r>
    </w:p>
    <w:p>
      <w:pPr>
        <w:pStyle w:val="null3"/>
        <w:ind w:firstLine="400"/>
      </w:pPr>
      <w:r>
        <w:rPr>
          <w:sz w:val="21"/>
        </w:rPr>
        <w:t>②　波潮仪安装要求：潜水/吊装将波潮仪放入预定位置，调整水平/垂直，紧固固定件，确保传感器面垂直于波浪传播方向，并进行直击雷防护；波潮仪安装在岸线顺直、水流稳定、无明显回流的区域。</w:t>
      </w:r>
    </w:p>
    <w:p>
      <w:pPr>
        <w:pStyle w:val="null3"/>
        <w:ind w:firstLine="400"/>
      </w:pPr>
      <w:r>
        <w:rPr>
          <w:sz w:val="21"/>
        </w:rPr>
        <w:t>③　水质多参数传感器安装要求：定制直径不小于50cm的消浪管，固定在码头，水质多参数传感器集成安装于保护管内，通过管内定制浮板（耐海水腐蚀的浮板）实现传感器的标准化固定，浮板密度适配水体浮力，可随管内水位轻微浮动，限制浮板仅做垂直方向位移，无水平晃动。浮板表面按传感器安装规范精准开孔，孔位做分层布局（避免传感器探头相互遮挡），每个开孔处配备硅胶密封衬套与紧固卡扣，所有传感器插入浮板后通过卡扣紧固，探头检测面完全裸露于水体中，无遮挡、无接触死角，浮板的浮动特性可自适应潮汐水位变化，保证传感器始终处于有效检测水位，同时缓冲水流冲击对传感器的硬性作用力。</w:t>
      </w:r>
    </w:p>
    <w:p>
      <w:pPr>
        <w:pStyle w:val="null3"/>
        <w:ind w:firstLine="400"/>
      </w:pPr>
      <w:r>
        <w:rPr>
          <w:sz w:val="21"/>
        </w:rPr>
        <w:t>④　高清智能视频监控安装要求：视频摄像头直接通过无线网卡传输视频流至数据接收软件，摄像头安装支架底座高度应高于最高潮位，无海水淹没风险，所有金属设备均做等电位联结，接地电阻≤4Ω。</w:t>
      </w:r>
    </w:p>
    <w:p>
      <w:pPr>
        <w:pStyle w:val="null3"/>
        <w:ind w:firstLine="400"/>
      </w:pPr>
      <w:r>
        <w:rPr>
          <w:sz w:val="21"/>
        </w:rPr>
        <w:t>⑤　数据采集安装要求：将前端安装的传感器与数据采集系统通过线缆进行连接，传感器向采集器实时发送采集的要素数据，采集器对接收的要素数据进行初步预处理后通过数据传输系统发送至数据接收软件，数据采集处理要符合相关规范要求。采集器采用蓄电池+太阳能互补充电，确保无日照时供电时间不小于72小时，并设置防雷装置，防止雷电直击造成设备损坏。</w:t>
      </w:r>
    </w:p>
    <w:p>
      <w:pPr>
        <w:pStyle w:val="null3"/>
        <w:ind w:firstLine="400"/>
      </w:pPr>
      <w:r>
        <w:rPr>
          <w:sz w:val="21"/>
        </w:rPr>
        <w:t>⑥　调试集成要求：安装完成后，供应商需对所有仪器设备进行全面调试，包括硬件调试（设备连接、供电测试、信号传输测试）、软件调试（数据采集、存储、传输功能测试）运行。将所有观测设备与数据采集终端、电源、通信系统等进行集成，实现观测数据的自动采集、存储、实时传输，确保数据与原系统对接，确保设备正常运行。</w:t>
      </w:r>
    </w:p>
    <w:p>
      <w:pPr>
        <w:pStyle w:val="null3"/>
        <w:ind w:firstLine="400"/>
      </w:pPr>
      <w:r>
        <w:rPr>
          <w:sz w:val="21"/>
        </w:rPr>
        <w:t>3）数据接收软件要求</w:t>
      </w:r>
    </w:p>
    <w:p>
      <w:pPr>
        <w:pStyle w:val="null3"/>
        <w:ind w:firstLine="400"/>
      </w:pPr>
      <w:r>
        <w:rPr>
          <w:sz w:val="21"/>
        </w:rPr>
        <w:t>需提供一套用于站点监测数据接收、存储、展示、管理及分析应用功能的数据接收软件。具有对接收的数据进行数据处理（数据标准化、质量控制等），将数据文件按照特定的规范与标准进行入库存储，通过前端页面实时展示监控视频并可叠加视频关键要素数据进行实时显示的能力，并具备数据查询和统计、仪器设备管理、数据报告生成、系统管理、用户管理等功能。实现监控视频及关键观测要素的实时显示，包括电池电压等站点信息，潮位、波高、水温、盐度等水文信息，以及溶解氧、浊度、pH值等生态要素，形成历史观测要素数据存档可查。通过数据报告生成功能可生成风暴潮（主要显示内容包括时段、增水值）、漫滩漫堤（主要显示内容包括漫滩范围、水深）、越岸浪（主要显示内容为浪高）的格式化数据报告（如excel或word），为防灾减灾、应急决策提供科学依据。</w:t>
      </w:r>
    </w:p>
    <w:p>
      <w:pPr>
        <w:pStyle w:val="null3"/>
        <w:ind w:firstLine="400"/>
      </w:pPr>
      <w:r>
        <w:rPr>
          <w:sz w:val="21"/>
        </w:rPr>
        <w:t>4）试运行要求</w:t>
      </w:r>
    </w:p>
    <w:p>
      <w:pPr>
        <w:pStyle w:val="null3"/>
        <w:ind w:firstLine="400"/>
      </w:pPr>
      <w:r>
        <w:rPr>
          <w:sz w:val="21"/>
        </w:rPr>
        <w:t>①　调试合格后，项目进入试运行阶段，试运行期限不少于3个月。试运行期间，供应商需安排专业技术人员值守，每天值守时间不少于6小时，实时监控观测站运行状态及数据质量。</w:t>
      </w:r>
    </w:p>
    <w:p>
      <w:pPr>
        <w:pStyle w:val="null3"/>
        <w:ind w:firstLine="400"/>
      </w:pPr>
      <w:r>
        <w:rPr>
          <w:sz w:val="21"/>
        </w:rPr>
        <w:t>②　试运行期间，需每日记录观测站点运行情况、设备故障及处理情况、数据传输情况等，确保观测数据连续、完整。若出现设备故障，需在6小时内响应，24小时内到达现场处理，72小时内解决故障（特殊情况除外）。试运行期间数据站点数据接收率不低于90%。</w:t>
      </w:r>
    </w:p>
    <w:p>
      <w:pPr>
        <w:pStyle w:val="null3"/>
        <w:ind w:firstLine="400"/>
      </w:pPr>
      <w:r>
        <w:rPr>
          <w:sz w:val="21"/>
        </w:rPr>
        <w:t>▲ 5）站点质保要求</w:t>
      </w:r>
    </w:p>
    <w:p>
      <w:pPr>
        <w:pStyle w:val="null3"/>
        <w:ind w:firstLine="400"/>
      </w:pPr>
      <w:r>
        <w:rPr>
          <w:sz w:val="21"/>
        </w:rPr>
        <w:t>①　提供自站点终期验收通过后为期3年的质保期，确保站点数据连续准确，运行正常。</w:t>
      </w:r>
    </w:p>
    <w:p>
      <w:pPr>
        <w:pStyle w:val="null3"/>
        <w:ind w:firstLine="400"/>
      </w:pPr>
      <w:r>
        <w:rPr>
          <w:sz w:val="21"/>
        </w:rPr>
        <w:t>②　每月开展不少于2次常规运维，根据实际情况开展应急维护。安排专人开展站点系统运行状态监控，按业务要求接收管理和分发观测数据。编制监控值班日志，对新发现的问题及时报告和处理。</w:t>
      </w:r>
    </w:p>
    <w:p>
      <w:pPr>
        <w:pStyle w:val="null3"/>
        <w:ind w:firstLine="400"/>
      </w:pPr>
      <w:r>
        <w:rPr>
          <w:sz w:val="21"/>
        </w:rPr>
        <w:t>③　除台风、设备因碰撞等人为因素损坏等不可抗力外，水温、盐度、叶绿素、pH等关键生态要素数据获取率达到90%及以上。</w:t>
      </w:r>
    </w:p>
    <w:p>
      <w:pPr>
        <w:pStyle w:val="null3"/>
        <w:ind w:firstLine="400"/>
      </w:pPr>
      <w:r>
        <w:rPr>
          <w:sz w:val="21"/>
        </w:rPr>
        <w:t>④　高清智能视频监控数据获取率达到90%及以上。</w:t>
      </w:r>
    </w:p>
    <w:p>
      <w:pPr>
        <w:pStyle w:val="null3"/>
        <w:ind w:firstLine="400"/>
      </w:pPr>
      <w:r>
        <w:rPr>
          <w:sz w:val="21"/>
        </w:rPr>
        <w:t>⑤　关键仪器、设备均须按照国家标准、相关部门的有关规定实行周期检定、校准或自校。</w:t>
      </w:r>
    </w:p>
    <w:p>
      <w:pPr>
        <w:pStyle w:val="null3"/>
        <w:ind w:firstLine="400"/>
      </w:pPr>
      <w:r>
        <w:rPr>
          <w:sz w:val="21"/>
        </w:rPr>
        <w:t>⑥　站点仪器设备出现故障，3天内恢复正常运行。</w:t>
      </w:r>
    </w:p>
    <w:p>
      <w:pPr>
        <w:pStyle w:val="null3"/>
        <w:ind w:firstLine="402"/>
      </w:pPr>
      <w:r>
        <w:rPr>
          <w:sz w:val="21"/>
          <w:b/>
        </w:rPr>
        <w:t>（3）预期成果要求：</w:t>
      </w:r>
    </w:p>
    <w:p>
      <w:pPr>
        <w:pStyle w:val="null3"/>
        <w:ind w:firstLine="400"/>
      </w:pPr>
      <w:r>
        <w:rPr>
          <w:sz w:val="21"/>
        </w:rPr>
        <w:t>1）2026年省级海洋生态综合在线监测站点建设设计书；</w:t>
      </w:r>
    </w:p>
    <w:p>
      <w:pPr>
        <w:pStyle w:val="null3"/>
        <w:ind w:firstLine="400"/>
      </w:pPr>
      <w:r>
        <w:rPr>
          <w:sz w:val="21"/>
        </w:rPr>
        <w:t>2）2026年省级海洋生态综合在线监测站点建设初步验收报告和终期验收报告；</w:t>
      </w:r>
    </w:p>
    <w:p>
      <w:pPr>
        <w:pStyle w:val="null3"/>
        <w:ind w:firstLine="400"/>
      </w:pPr>
      <w:r>
        <w:rPr>
          <w:sz w:val="21"/>
        </w:rPr>
        <w:t>3）2026年省级海洋生态综合在线监测站点建设工作报告；</w:t>
      </w:r>
    </w:p>
    <w:p>
      <w:pPr>
        <w:pStyle w:val="null3"/>
        <w:ind w:firstLine="400"/>
      </w:pPr>
      <w:r>
        <w:rPr>
          <w:sz w:val="21"/>
        </w:rPr>
        <w:t>4）2026年省级海洋生态综合在线监测站点试运行记录、试运行报告；</w:t>
      </w:r>
    </w:p>
    <w:p>
      <w:pPr>
        <w:pStyle w:val="null3"/>
        <w:ind w:firstLine="400"/>
      </w:pPr>
      <w:r>
        <w:rPr>
          <w:sz w:val="21"/>
        </w:rPr>
        <w:t>5）质保期承诺函、开箱检验记录表、相关软件用户手册等其他相关文档材料。</w:t>
      </w:r>
    </w:p>
    <w:p>
      <w:pPr>
        <w:pStyle w:val="null3"/>
        <w:ind w:firstLine="400"/>
      </w:pPr>
      <w:r>
        <w:rPr>
          <w:sz w:val="21"/>
        </w:rPr>
        <w:t>以上项目成果，需提交纸质以及电子材料，其中纸质材料为一式4 份，电子材料以光盘的形式提交。</w:t>
      </w:r>
    </w:p>
    <w:p>
      <w:pPr>
        <w:pStyle w:val="null3"/>
        <w:ind w:firstLine="402"/>
      </w:pPr>
      <w:r>
        <w:rPr>
          <w:sz w:val="21"/>
          <w:b/>
        </w:rPr>
        <w:t>（4）人员要求</w:t>
      </w:r>
    </w:p>
    <w:p>
      <w:pPr>
        <w:pStyle w:val="null3"/>
        <w:ind w:firstLine="400"/>
      </w:pPr>
      <w:r>
        <w:rPr>
          <w:sz w:val="21"/>
        </w:rPr>
        <w:t>中标供应商拟投入本项目的服务团队成员需有4名或以上人员具有海上作业安全培训合格证书。</w:t>
      </w:r>
    </w:p>
    <w:p>
      <w:pPr>
        <w:pStyle w:val="null3"/>
        <w:ind w:firstLine="402"/>
      </w:pPr>
      <w:r>
        <w:rPr>
          <w:sz w:val="21"/>
          <w:b/>
        </w:rPr>
        <w:t>（5）其他要求：</w:t>
      </w:r>
    </w:p>
    <w:p>
      <w:pPr>
        <w:pStyle w:val="null3"/>
        <w:ind w:firstLine="400"/>
      </w:pPr>
      <w:r>
        <w:rPr>
          <w:sz w:val="21"/>
        </w:rPr>
        <w:t>1）本项目所形成的数据及报告资料归采购单位所有。未经采购单位授权，中标供应商无权使用监测数据或将数据和报告发送给任何第三方。中标供应商应遵守有关保密规定，承诺为采购单位保密。</w:t>
      </w:r>
    </w:p>
    <w:p>
      <w:pPr>
        <w:pStyle w:val="null3"/>
        <w:ind w:firstLine="400"/>
      </w:pPr>
      <w:r>
        <w:rPr>
          <w:sz w:val="21"/>
        </w:rPr>
        <w:t>★2）基于图件及有关资料涉及保密要求等原因，中标供应商须派驻1名专业技术骨干全程参与相关工作。要求为中级或以上工程师（含其他系列中级或以上职称）职称，从事过海洋观测相关工作，并提交业绩证明（投标人需提交承诺函并加盖公章，承诺函格式自拟）。</w:t>
      </w:r>
    </w:p>
    <w:p>
      <w:pPr>
        <w:pStyle w:val="null3"/>
      </w:pPr>
      <w:r>
        <w:rPr/>
        <w:t>采购包1（2026年省级海洋生态综合在线监测站点建设）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本项目需在 2026 年 7 月 31 日前完成项目初步验收评审，在 2026 年 12 月 31 日前完成终期验收评审，并按财政资金项目资料归档有关规定汇交成果报告等资料。</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1期：支付比例30%,合同签订后5个工作日内，采购人向中标供应商支付合同总额的30%；</w:t>
            </w:r>
          </w:p>
          <w:p>
            <w:pPr>
              <w:pStyle w:val="null3"/>
            </w:pPr>
            <w:r>
              <w:rPr/>
              <w:t>2期：支付比例30%,中标供应商编制完设计书并完成设计评审后，采购人向中标供应商支付合同总额的30%。</w:t>
            </w:r>
          </w:p>
          <w:p>
            <w:pPr>
              <w:pStyle w:val="null3"/>
            </w:pPr>
            <w:r>
              <w:rPr/>
              <w:t>3期：支付比例35%,中标供应商提交初步验收报告并通过由采购人组织的专家评审后，采购人向中标供应商支付合同总额的35%。</w:t>
            </w:r>
          </w:p>
          <w:p>
            <w:pPr>
              <w:pStyle w:val="null3"/>
            </w:pPr>
            <w:r>
              <w:rPr/>
              <w:t>4期：支付比例5%,中标供应商提交终期验收报告并通过由采购人组织的专家评审且按财政资金项目资料归档有关规定汇交成果报告后，采购人支付合同总额的5%。因采购人使用的是财政资金，采购人在前款规定的付款时间为向政府采购支付部门提出办理财政支付申请手续的时间（不含政府财政支付部门审核的时间），在规定时间内提出支付申请手续后即视为采购人已经按期支付。 中标供应商凭以下有效文件与采购人结算： （1）合同； （2）中标供应商开具的正式完税发票； （3）验收/成果报告（加盖采购人公章）； （4）中标通知书。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中标供应商提出验收申请后，采购人按国家有关规定、规范进行项目验收，中标供应商负责验收的相关准备工作，并提交所有验收资料（包括设计、成果报告、成果图件/表格、专项报告及附图/表、合同书等）。 1.初步验收：2026年7月31日前，完成2个站点建设，包括站点基础设施建设、设备安装调试等工作，数据接收正常。提交初步验收报告并通过专家评审。 2.终期验收：2026年11月30日前，完成站点试运行工作，试运行期间站点达到业务化运行要求，数据采集和传输连续不间断，数据接收率达到90%以上。完成所有成果报告编制以及数据成果集制作，提交终期验收报告并通过专家评审。</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1.1 本项目的报价和结算支付均以人民币为货币单位。 1.2 投标人总报价应包括但不限于货物费用、运输费、装卸费、安装调试费、拆装、修复费、零配件费、人工费、管理费、各项税费、利润及不可预见费用。本项目合同执行期间合同总金额不变。 1.3 投标人应自行增加设备正常、合法、安全运行及使用所必须但招标文件没有包含的所有设备、版权、专利等一切费用。 1.4 投标人必须对项目全部内容进行投标，不允许只对其中部分内容进行投标。 1.5 本项目投标总报价不得高于采购预算，否则报价无效、投标文件作无效投标处理。 1.6 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 （二）设备要求： 2.1货物要求为原制造商制造的全新产品，整机无污染，无侵权行为、表面无划损、无任何缺陷隐患，在中国境内可依常规安全合法使用。 2.2货物要求为原厂商未启封全新包装，具出厂合格证，序列号、包装箱号与出厂批号一致，并可追索查阅。 2.3有关键主机设备的用户手册、保修手册、有关单证资料及配备件、随机工具等，使用操作及安全 须知等重要资料应附有中文说明。 （三）安装调试： 3.1中标供应商负责合同设备的安装，一切费用由中标供应商负责。 3.2中标供应商安装时须对各安装场地内的其他设备、设施有良好保护措施。 3.3中标供应商必须依照招标文件的要求和投标文件的承诺，将设备、系统安装并调试至正常运行的最佳状态。安装要求严格按国家、地方、行业标准执行。产品要随附详实的安装图纸、安装说明、安装注意事项等资料。 （四）质量保证及售后服务： 4.1本项目的质量保证期：严格按照厂家的质保年限执行，但自项目验收交付之日起总体项目提供不少于 3 年免费保修期，自双方签字验收合格之日起生效，质保期内中标供应商对所供货物实行包修、包换、包退、包维护保养，更换同种品牌不低于原规格型号的新部件和软件升级，不再向采购人收取任何费用。期满后可同时提供终身有偿维修保养服务，若有零部件出现故障，经权威部门鉴定属于寿命异常问题（明显短于该零部件正常寿命）时，则由中标供应商负责更换及维修（相关费用由中标供应商承担）。期满后，配合采购人完成后续交接工作，包括但不限于：设施设备清点及状态确认、运维技术资料及维护记录的完整移交、必要的技术交底和现场操作指导、交接前站点故障处理。 4.2质保期内，自验收并交付采购人使用之日起3个月内出现仪器重大故障，中标供应商需无条件更换。 4.3设备质保期内，非因采购人原因致使本合同下设备出现产品质量问题或故障问题的，由中标供应商负责维修，采购人应在设备出现问题后向中标供应商发出维修通知，采购人维修通知发出后，视同该维修通知已送达中标供应商。中标供应商在接报(包括但不限于电话、电子邮件等方式)后6小时内响应，24小时派技术人员到达设备现场进行维修。原则上中标供应商应当自到达现场开始的48个小时内完成维修工作，如需更换配件等原因无法现场解决故障问题的，中标供应商在接报(包括但不限于电话、电子邮件等方式)后的72小时内提供不低于故障设备规格、型号、性能的备用设备供采购人代用，直至故障设备修复，如果需要更换配件的，更换的配件跟被更换的品牌、类型相一致或者是同类更高档次的替代品，后者需征得采购人管理人员同意。设备维修或更换零配件过程中及提供备用件时所产生的一切费用已包含在合同设备总价内。 4.4质保期内如货物故障经中标供应商3次维修后仍不能达到采购人使用标准，采购人有权退货，并视作中标供应商不能交付货物而须支付违约赔偿金给采购人，采购人还可依法追究中标供应商的违约责任。 4.5中标供应商需具有相应的售后服务能力，包括拥有相应的设备和人员。在保修期内，中标供应商需有可随时上门进行维修及检测的工程师。 4.6中标供应商所投产品需提供设备扩容、升级方面的技术支持服务。 （五）文件资料： 中标供应商必须为用户安装、调试、维修、使用提供足够的技术资料，并交货时随附装箱。 （六）培训要求： 6.1在设备安装和调试完成后，中标供应商应提供培训服务，提供专业技术人员对采购人科室使用设备人员和相关管理人员进行一周培训，并保证两名以上操作人员熟练掌握操作技术为止。 6.2中标供应商需制定详细的培训内容和培训计划。 6.3如遇设备升级更新，中标供应商需及时提供更新操作指导。</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海洋水文气象仪器设备</w:t>
            </w:r>
          </w:p>
        </w:tc>
        <w:tc>
          <w:tcPr>
            <w:tcW w:type="dxa" w:w="831"/>
          </w:tcPr>
          <w:p>
            <w:pPr>
              <w:pStyle w:val="null3"/>
              <w:jc w:val="left"/>
            </w:pPr>
            <w:r>
              <w:rPr/>
              <w:t>海洋生态综合在线监测站点</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1,327,500.00</w:t>
            </w:r>
          </w:p>
        </w:tc>
        <w:tc>
          <w:tcPr>
            <w:tcW w:type="dxa" w:w="831"/>
          </w:tcPr>
          <w:p>
            <w:pPr>
              <w:pStyle w:val="null3"/>
              <w:jc w:val="right"/>
            </w:pPr>
            <w:r>
              <w:rPr/>
              <w:t>2,655,000.00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应用软件</w:t>
            </w:r>
          </w:p>
        </w:tc>
        <w:tc>
          <w:tcPr>
            <w:tcW w:type="dxa" w:w="831"/>
          </w:tcPr>
          <w:p>
            <w:pPr>
              <w:pStyle w:val="null3"/>
              <w:jc w:val="left"/>
            </w:pPr>
            <w:r>
              <w:rPr/>
              <w:t>数据接收软件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124,000.00</w:t>
            </w:r>
          </w:p>
        </w:tc>
        <w:tc>
          <w:tcPr>
            <w:tcW w:type="dxa" w:w="831"/>
          </w:tcPr>
          <w:p>
            <w:pPr>
              <w:pStyle w:val="null3"/>
              <w:jc w:val="right"/>
            </w:pPr>
            <w:r>
              <w:rPr/>
              <w:t>124,000.00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海洋生态综合在线监测站点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39"/>
              <w:gridCol w:w="937"/>
              <w:gridCol w:w="551"/>
              <w:gridCol w:w="3671"/>
            </w:tblGrid>
            <w:tr>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仪器名称</w:t>
                  </w:r>
                </w:p>
              </w:tc>
              <w:tc>
                <w:tcPr>
                  <w:tcW w:type="dxa" w:w="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技术指标</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波潮仪</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05"/>
                    <w:jc w:val="both"/>
                  </w:pPr>
                  <w:r>
                    <w:rPr>
                      <w:sz w:val="19"/>
                    </w:rPr>
                    <w:t>1.波高：测量范围0～30m，准确度±2%实测值，分辨率0.01m；</w:t>
                  </w:r>
                </w:p>
                <w:p>
                  <w:pPr>
                    <w:pStyle w:val="null3"/>
                    <w:ind w:left="405"/>
                    <w:jc w:val="both"/>
                  </w:pPr>
                  <w:r>
                    <w:rPr>
                      <w:sz w:val="19"/>
                    </w:rPr>
                    <w:t>2.波周期：测量范围1.5～50s，准确度±0.5s，分辨率0.01s；</w:t>
                  </w:r>
                </w:p>
                <w:p>
                  <w:pPr>
                    <w:pStyle w:val="null3"/>
                    <w:ind w:left="405"/>
                    <w:jc w:val="both"/>
                  </w:pPr>
                  <w:r>
                    <w:rPr>
                      <w:sz w:val="19"/>
                    </w:rPr>
                    <w:t>3.波向：测量范围0～359°，准确度±5°，分辨率1°；</w:t>
                  </w:r>
                </w:p>
                <w:p>
                  <w:pPr>
                    <w:pStyle w:val="null3"/>
                    <w:ind w:left="405"/>
                    <w:jc w:val="both"/>
                  </w:pPr>
                  <w:r>
                    <w:rPr>
                      <w:sz w:val="19"/>
                    </w:rPr>
                    <w:t>4.波浪采样频率：2Hz；</w:t>
                  </w:r>
                </w:p>
                <w:p>
                  <w:pPr>
                    <w:pStyle w:val="null3"/>
                    <w:ind w:left="405"/>
                    <w:jc w:val="both"/>
                  </w:pPr>
                  <w:r>
                    <w:rPr>
                      <w:sz w:val="19"/>
                    </w:rPr>
                    <w:t>5.波浪特征值：1小时1组。</w:t>
                  </w:r>
                </w:p>
                <w:p>
                  <w:pPr>
                    <w:pStyle w:val="null3"/>
                    <w:ind w:left="405"/>
                    <w:jc w:val="both"/>
                  </w:pPr>
                  <w:r>
                    <w:rPr>
                      <w:sz w:val="19"/>
                    </w:rPr>
                    <w:t>6.潮汐：测量范围0～10m，准确度±0.05m，分辨率0.01m，采样频率2Hz。</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叶绿素</w:t>
                  </w:r>
                  <w:r>
                    <w:rPr>
                      <w:sz w:val="21"/>
                    </w:rPr>
                    <w:t>a传感器</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05"/>
                    <w:jc w:val="both"/>
                  </w:pPr>
                  <w:r>
                    <w:rPr>
                      <w:sz w:val="19"/>
                    </w:rPr>
                    <w:t>1.具备湿拔插接头，能在现场快速地自行更换维护，可抵抗高强度冲击；</w:t>
                  </w:r>
                </w:p>
                <w:p>
                  <w:pPr>
                    <w:pStyle w:val="null3"/>
                    <w:ind w:left="405"/>
                    <w:jc w:val="both"/>
                  </w:pPr>
                  <w:r>
                    <w:rPr>
                      <w:sz w:val="19"/>
                    </w:rPr>
                    <w:t>2.具有自动抑制水生物生长和附着的功能，适合长期野外水质在线监测；</w:t>
                  </w:r>
                </w:p>
                <w:p>
                  <w:pPr>
                    <w:pStyle w:val="null3"/>
                    <w:ind w:left="405"/>
                    <w:jc w:val="both"/>
                  </w:pPr>
                  <w:r>
                    <w:rPr>
                      <w:sz w:val="19"/>
                    </w:rPr>
                    <w:t>3.检测范围：0-1000μg/L；</w:t>
                  </w:r>
                </w:p>
                <w:p>
                  <w:pPr>
                    <w:pStyle w:val="null3"/>
                    <w:ind w:left="405"/>
                    <w:jc w:val="both"/>
                  </w:pPr>
                  <w:r>
                    <w:rPr>
                      <w:sz w:val="19"/>
                    </w:rPr>
                    <w:t>4.线性：R2&gt;0.999在全量程内连续稀释MeOH中的叶绿素a；</w:t>
                  </w:r>
                </w:p>
                <w:p>
                  <w:pPr>
                    <w:pStyle w:val="null3"/>
                    <w:ind w:left="405"/>
                    <w:jc w:val="both"/>
                  </w:pPr>
                  <w:r>
                    <w:rPr>
                      <w:sz w:val="19"/>
                    </w:rPr>
                    <w:t>5.分辨率：≤0.01μg/L;</w:t>
                  </w:r>
                </w:p>
                <w:p>
                  <w:pPr>
                    <w:pStyle w:val="null3"/>
                    <w:ind w:left="405"/>
                    <w:jc w:val="both"/>
                  </w:pPr>
                  <w:r>
                    <w:rPr>
                      <w:sz w:val="19"/>
                    </w:rPr>
                    <w:t>6.检出限：0.1μg/L。</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温盐传感器</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05"/>
                    <w:jc w:val="both"/>
                  </w:pPr>
                  <w:r>
                    <w:rPr>
                      <w:sz w:val="19"/>
                    </w:rPr>
                    <w:t>1.具备湿拔插接头，能在现场快速地自行更换维护，可抵抗高强度冲击；</w:t>
                  </w:r>
                </w:p>
                <w:p>
                  <w:pPr>
                    <w:pStyle w:val="null3"/>
                    <w:ind w:left="405"/>
                    <w:jc w:val="both"/>
                  </w:pPr>
                  <w:r>
                    <w:rPr>
                      <w:sz w:val="19"/>
                    </w:rPr>
                    <w:t>2.具有自动抑制水生物生长和附着的功能，适合长期野外水质在线监测；</w:t>
                  </w:r>
                </w:p>
                <w:p>
                  <w:pPr>
                    <w:pStyle w:val="null3"/>
                    <w:ind w:left="405"/>
                    <w:jc w:val="both"/>
                  </w:pPr>
                  <w:r>
                    <w:rPr>
                      <w:sz w:val="19"/>
                    </w:rPr>
                    <w:t>3.温度检测范围：-5至+50℃；</w:t>
                  </w:r>
                </w:p>
                <w:p>
                  <w:pPr>
                    <w:pStyle w:val="null3"/>
                    <w:ind w:left="405"/>
                    <w:jc w:val="both"/>
                  </w:pPr>
                  <w:r>
                    <w:rPr>
                      <w:sz w:val="19"/>
                    </w:rPr>
                    <w:t>3.1.分辨率：0.01℃；</w:t>
                  </w:r>
                </w:p>
                <w:p>
                  <w:pPr>
                    <w:pStyle w:val="null3"/>
                    <w:ind w:left="405"/>
                    <w:jc w:val="both"/>
                  </w:pPr>
                  <w:r>
                    <w:rPr>
                      <w:sz w:val="19"/>
                    </w:rPr>
                    <w:t>3.2.准确度：±0.1℃；</w:t>
                  </w:r>
                </w:p>
                <w:p>
                  <w:pPr>
                    <w:pStyle w:val="null3"/>
                    <w:ind w:left="405"/>
                    <w:jc w:val="both"/>
                  </w:pPr>
                  <w:r>
                    <w:rPr>
                      <w:sz w:val="19"/>
                    </w:rPr>
                    <w:t>4.盐度检测范围：0-350 ppt；</w:t>
                  </w:r>
                </w:p>
                <w:p>
                  <w:pPr>
                    <w:pStyle w:val="null3"/>
                    <w:ind w:left="405"/>
                    <w:jc w:val="both"/>
                  </w:pPr>
                  <w:r>
                    <w:rPr>
                      <w:sz w:val="19"/>
                    </w:rPr>
                    <w:t>4.1.分辨率：0.1ppt；</w:t>
                  </w:r>
                </w:p>
                <w:p>
                  <w:pPr>
                    <w:pStyle w:val="null3"/>
                    <w:ind w:left="405"/>
                    <w:jc w:val="both"/>
                  </w:pPr>
                  <w:r>
                    <w:rPr>
                      <w:sz w:val="19"/>
                    </w:rPr>
                    <w:t>4.2.准确度：读数值的±1.0%或0.1ppt。</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溶解氧传感器</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05"/>
                    <w:jc w:val="both"/>
                  </w:pPr>
                  <w:r>
                    <w:rPr>
                      <w:sz w:val="19"/>
                    </w:rPr>
                    <w:t>1.具备湿拔插接头，能在现场快速地自行更换维护，可抵抗高强度冲击；</w:t>
                  </w:r>
                </w:p>
                <w:p>
                  <w:pPr>
                    <w:pStyle w:val="null3"/>
                    <w:ind w:left="405"/>
                    <w:jc w:val="both"/>
                  </w:pPr>
                  <w:r>
                    <w:rPr>
                      <w:sz w:val="19"/>
                    </w:rPr>
                    <w:t>2.具有自动抑制水生物生长和附着的功能，适合长期野外水质在线监测；</w:t>
                  </w:r>
                </w:p>
                <w:p>
                  <w:pPr>
                    <w:pStyle w:val="null3"/>
                    <w:ind w:left="405"/>
                    <w:jc w:val="both"/>
                  </w:pPr>
                  <w:r>
                    <w:rPr>
                      <w:sz w:val="19"/>
                    </w:rPr>
                    <w:t>3.检测范围：0至60mg/L；</w:t>
                  </w:r>
                </w:p>
                <w:p>
                  <w:pPr>
                    <w:pStyle w:val="null3"/>
                    <w:ind w:left="405"/>
                    <w:jc w:val="both"/>
                  </w:pPr>
                  <w:r>
                    <w:rPr>
                      <w:sz w:val="19"/>
                    </w:rPr>
                    <w:t>4.准确度：±0.1mg/L(0～20mg/L)、读数的±2%(20～60mg/L)；</w:t>
                  </w:r>
                </w:p>
                <w:p>
                  <w:pPr>
                    <w:pStyle w:val="null3"/>
                    <w:ind w:left="405"/>
                    <w:jc w:val="both"/>
                  </w:pPr>
                  <w:r>
                    <w:rPr>
                      <w:sz w:val="19"/>
                    </w:rPr>
                    <w:t>5.分辨率：≤0.01mg/L。</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浊度传感器</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05"/>
                    <w:jc w:val="both"/>
                  </w:pPr>
                  <w:r>
                    <w:rPr>
                      <w:sz w:val="19"/>
                    </w:rPr>
                    <w:t>1.具备湿拔插接头，能在现场快速地自行更换维护，可抵抗高强度冲击；</w:t>
                  </w:r>
                </w:p>
                <w:p>
                  <w:pPr>
                    <w:pStyle w:val="null3"/>
                    <w:ind w:left="405"/>
                    <w:jc w:val="both"/>
                  </w:pPr>
                  <w:r>
                    <w:rPr>
                      <w:sz w:val="19"/>
                    </w:rPr>
                    <w:t>2.具有自动抑制水生物生长和附着的功能，适合长期野外水质在线监测；</w:t>
                  </w:r>
                </w:p>
                <w:p>
                  <w:pPr>
                    <w:pStyle w:val="null3"/>
                    <w:ind w:left="405"/>
                    <w:jc w:val="both"/>
                  </w:pPr>
                  <w:r>
                    <w:rPr>
                      <w:sz w:val="19"/>
                    </w:rPr>
                    <w:t>3.检测范围：0～4000 NTU；</w:t>
                  </w:r>
                </w:p>
                <w:p>
                  <w:pPr>
                    <w:pStyle w:val="null3"/>
                    <w:ind w:left="405"/>
                    <w:jc w:val="both"/>
                  </w:pPr>
                  <w:r>
                    <w:rPr>
                      <w:sz w:val="19"/>
                    </w:rPr>
                    <w:t>4.准确度：读数的±2%或±0.5NTU；</w:t>
                  </w:r>
                </w:p>
                <w:p>
                  <w:pPr>
                    <w:pStyle w:val="null3"/>
                    <w:ind w:left="405"/>
                    <w:jc w:val="both"/>
                  </w:pPr>
                  <w:r>
                    <w:rPr>
                      <w:sz w:val="19"/>
                    </w:rPr>
                    <w:t>5.分辨率：0.01 NTU(0-1000)，0.1 NTU(1000-4000)。</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蓝绿藻传感器</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05"/>
                    <w:jc w:val="both"/>
                  </w:pPr>
                  <w:r>
                    <w:rPr>
                      <w:sz w:val="19"/>
                    </w:rPr>
                    <w:t>1.具备湿拔插接头，能在现场快速地自行更换维护，可抵抗高强度冲击；</w:t>
                  </w:r>
                </w:p>
                <w:p>
                  <w:pPr>
                    <w:pStyle w:val="null3"/>
                    <w:ind w:left="405"/>
                    <w:jc w:val="both"/>
                  </w:pPr>
                  <w:r>
                    <w:rPr>
                      <w:sz w:val="19"/>
                    </w:rPr>
                    <w:t>2.具有自动抑制水生物生长和附着的功能，适合长期野外水质在线监测；</w:t>
                  </w:r>
                </w:p>
                <w:p>
                  <w:pPr>
                    <w:pStyle w:val="null3"/>
                    <w:ind w:left="405"/>
                    <w:jc w:val="both"/>
                  </w:pPr>
                  <w:r>
                    <w:rPr>
                      <w:sz w:val="19"/>
                    </w:rPr>
                    <w:t>3.检测范围：0-1000μg/L;</w:t>
                  </w:r>
                </w:p>
                <w:p>
                  <w:pPr>
                    <w:pStyle w:val="null3"/>
                    <w:ind w:left="405"/>
                    <w:jc w:val="both"/>
                  </w:pPr>
                  <w:r>
                    <w:rPr>
                      <w:sz w:val="19"/>
                    </w:rPr>
                    <w:t>4.线性：R2&gt;0.999对藻蓝蛋白进行全量程连续稀释；</w:t>
                  </w:r>
                </w:p>
                <w:p>
                  <w:pPr>
                    <w:pStyle w:val="null3"/>
                    <w:ind w:left="405"/>
                    <w:jc w:val="both"/>
                  </w:pPr>
                  <w:r>
                    <w:rPr>
                      <w:sz w:val="19"/>
                    </w:rPr>
                    <w:t>5.分辨率：&lt;0.01 ug/L；</w:t>
                  </w:r>
                </w:p>
                <w:p>
                  <w:pPr>
                    <w:pStyle w:val="null3"/>
                    <w:ind w:left="405"/>
                    <w:jc w:val="both"/>
                  </w:pPr>
                  <w:r>
                    <w:rPr>
                      <w:sz w:val="19"/>
                    </w:rPr>
                    <w:t>6.检出限：l ug/L。</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pH传感器</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05"/>
                    <w:jc w:val="both"/>
                  </w:pPr>
                  <w:r>
                    <w:rPr>
                      <w:sz w:val="19"/>
                    </w:rPr>
                    <w:t>1.具备湿拔插接头，能在现场快速地自行更换维护，可抵抗高强度冲击；</w:t>
                  </w:r>
                </w:p>
                <w:p>
                  <w:pPr>
                    <w:pStyle w:val="null3"/>
                    <w:ind w:left="405"/>
                    <w:jc w:val="both"/>
                  </w:pPr>
                  <w:r>
                    <w:rPr>
                      <w:sz w:val="19"/>
                    </w:rPr>
                    <w:t>2.具有自动抑制水生物生长和附着的功能，适合长期野外水质在线监测；</w:t>
                  </w:r>
                </w:p>
                <w:p>
                  <w:pPr>
                    <w:pStyle w:val="null3"/>
                    <w:ind w:left="405"/>
                    <w:jc w:val="both"/>
                  </w:pPr>
                  <w:r>
                    <w:rPr>
                      <w:sz w:val="19"/>
                    </w:rPr>
                    <w:t>3.检测范围：0-14pH；</w:t>
                  </w:r>
                </w:p>
                <w:p>
                  <w:pPr>
                    <w:pStyle w:val="null3"/>
                    <w:ind w:left="405"/>
                    <w:jc w:val="both"/>
                  </w:pPr>
                  <w:r>
                    <w:rPr>
                      <w:sz w:val="19"/>
                    </w:rPr>
                    <w:t>4.分辨率：0.01pH；</w:t>
                  </w:r>
                </w:p>
                <w:p>
                  <w:pPr>
                    <w:pStyle w:val="null3"/>
                    <w:ind w:left="405"/>
                    <w:jc w:val="both"/>
                  </w:pPr>
                  <w:r>
                    <w:rPr>
                      <w:sz w:val="19"/>
                    </w:rPr>
                    <w:t>5.准确度：±0.1pH。</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高清智能视频监控系统</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05"/>
                    <w:jc w:val="both"/>
                  </w:pPr>
                  <w:r>
                    <w:rPr>
                      <w:sz w:val="19"/>
                    </w:rPr>
                    <w:t>1.具备</w:t>
                  </w:r>
                  <w:r>
                    <w:rPr>
                      <w:sz w:val="19"/>
                    </w:rPr>
                    <w:t>水尺测量</w:t>
                  </w:r>
                  <w:r>
                    <w:rPr>
                      <w:sz w:val="19"/>
                    </w:rPr>
                    <w:t>功能（</w:t>
                  </w:r>
                  <w:r>
                    <w:rPr>
                      <w:sz w:val="19"/>
                    </w:rPr>
                    <w:t>距离</w:t>
                  </w:r>
                  <w:r>
                    <w:rPr>
                      <w:sz w:val="19"/>
                    </w:rPr>
                    <w:t>≤80m</w:t>
                  </w:r>
                  <w:r>
                    <w:rPr>
                      <w:sz w:val="19"/>
                    </w:rPr>
                    <w:t>，</w:t>
                  </w:r>
                  <w:r>
                    <w:rPr>
                      <w:sz w:val="19"/>
                    </w:rPr>
                    <w:t>测量落差</w:t>
                  </w:r>
                  <w:r>
                    <w:rPr>
                      <w:sz w:val="19"/>
                    </w:rPr>
                    <w:t>0-40m</w:t>
                  </w:r>
                  <w:r>
                    <w:rPr>
                      <w:sz w:val="19"/>
                    </w:rPr>
                    <w:t>，</w:t>
                  </w:r>
                  <w:r>
                    <w:rPr>
                      <w:sz w:val="19"/>
                    </w:rPr>
                    <w:t>分辨力</w:t>
                  </w:r>
                  <w:r>
                    <w:rPr>
                      <w:sz w:val="19"/>
                    </w:rPr>
                    <w:t>1cm</w:t>
                  </w:r>
                  <w:r>
                    <w:rPr>
                      <w:sz w:val="19"/>
                    </w:rPr>
                    <w:t>；</w:t>
                  </w:r>
                </w:p>
                <w:p>
                  <w:pPr>
                    <w:pStyle w:val="null3"/>
                    <w:ind w:left="405"/>
                    <w:jc w:val="both"/>
                  </w:pPr>
                  <w:r>
                    <w:rPr>
                      <w:sz w:val="19"/>
                    </w:rPr>
                    <w:t>检测精度</w:t>
                  </w:r>
                  <w:r>
                    <w:rPr>
                      <w:sz w:val="19"/>
                    </w:rPr>
                    <w:t>±2cm</w:t>
                  </w:r>
                  <w:r>
                    <w:rPr>
                      <w:sz w:val="19"/>
                    </w:rPr>
                    <w:t>）；</w:t>
                  </w:r>
                </w:p>
                <w:p>
                  <w:pPr>
                    <w:pStyle w:val="null3"/>
                    <w:ind w:left="405"/>
                    <w:jc w:val="both"/>
                  </w:pPr>
                  <w:r>
                    <w:rPr>
                      <w:sz w:val="19"/>
                    </w:rPr>
                    <w:t>2.高清画面输出2560×1440@30fps。</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数据采集系统</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05"/>
                    <w:jc w:val="both"/>
                  </w:pPr>
                  <w:r>
                    <w:rPr>
                      <w:sz w:val="19"/>
                    </w:rPr>
                    <w:t>1.工作温度：（-30～60）℃；</w:t>
                  </w:r>
                </w:p>
                <w:p>
                  <w:pPr>
                    <w:pStyle w:val="null3"/>
                    <w:ind w:left="405"/>
                    <w:jc w:val="both"/>
                  </w:pPr>
                  <w:r>
                    <w:rPr>
                      <w:sz w:val="19"/>
                    </w:rPr>
                    <w:t>2.存储条件：（-40～60）℃；</w:t>
                  </w:r>
                </w:p>
                <w:p>
                  <w:pPr>
                    <w:pStyle w:val="null3"/>
                    <w:ind w:left="405"/>
                    <w:jc w:val="both"/>
                  </w:pPr>
                  <w:r>
                    <w:rPr>
                      <w:sz w:val="19"/>
                    </w:rPr>
                    <w:t>3.工作电压：（10～15）VDC；</w:t>
                  </w:r>
                </w:p>
                <w:p>
                  <w:pPr>
                    <w:pStyle w:val="null3"/>
                    <w:ind w:left="405"/>
                    <w:jc w:val="both"/>
                  </w:pPr>
                  <w:r>
                    <w:rPr>
                      <w:sz w:val="19"/>
                    </w:rPr>
                    <w:t>4.集成：既可作为单机使用，也可与气象子系统连接；</w:t>
                  </w:r>
                </w:p>
                <w:p>
                  <w:pPr>
                    <w:pStyle w:val="null3"/>
                    <w:ind w:left="405"/>
                    <w:jc w:val="both"/>
                  </w:pPr>
                  <w:r>
                    <w:rPr>
                      <w:sz w:val="19"/>
                    </w:rPr>
                    <w:t>5.数据采集器和采集控制软件完成对信号及数据的采集、处理；集成监控软件包，完成监测系统的控制、数据采集、存储、处理工作。现场工控机和现场监控操作软件完成人机交互功能。</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数据传输系统</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05"/>
                    <w:jc w:val="both"/>
                  </w:pPr>
                  <w:r>
                    <w:rPr>
                      <w:sz w:val="19"/>
                    </w:rPr>
                    <w:t>1.</w:t>
                  </w:r>
                  <w:r>
                    <w:rPr>
                      <w:sz w:val="19"/>
                    </w:rPr>
                    <w:t>支持移动、电信、联通无线</w:t>
                  </w:r>
                  <w:r>
                    <w:rPr>
                      <w:sz w:val="19"/>
                    </w:rPr>
                    <w:t>VPDN专网卡传输观测数据。</w:t>
                  </w:r>
                </w:p>
                <w:p>
                  <w:pPr>
                    <w:pStyle w:val="null3"/>
                    <w:ind w:left="405"/>
                    <w:jc w:val="both"/>
                  </w:pPr>
                  <w:r>
                    <w:rPr>
                      <w:sz w:val="19"/>
                    </w:rPr>
                    <w:t>2.</w:t>
                  </w:r>
                  <w:r>
                    <w:rPr>
                      <w:sz w:val="19"/>
                    </w:rPr>
                    <w:t>配备数据传输所需的专网卡，并包含截至质保期末所有数据传输所需流量。</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供电系统</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05"/>
                    <w:jc w:val="both"/>
                  </w:pPr>
                  <w:r>
                    <w:rPr>
                      <w:sz w:val="19"/>
                    </w:rPr>
                    <w:t>1.配备专用电源：单套包括充放电控制器、蓄电池、太阳能电池板；</w:t>
                  </w:r>
                </w:p>
                <w:p>
                  <w:pPr>
                    <w:pStyle w:val="null3"/>
                    <w:ind w:left="405"/>
                    <w:jc w:val="both"/>
                  </w:pPr>
                  <w:r>
                    <w:rPr>
                      <w:sz w:val="19"/>
                    </w:rPr>
                    <w:t>2.直流：12 V±10%（太阳能电池、蓄电池，带自动充电以及电压检测功能）；</w:t>
                  </w:r>
                </w:p>
                <w:p>
                  <w:pPr>
                    <w:pStyle w:val="null3"/>
                    <w:ind w:left="405"/>
                    <w:jc w:val="both"/>
                  </w:pPr>
                  <w:r>
                    <w:rPr>
                      <w:sz w:val="19"/>
                    </w:rPr>
                    <w:t>3.阴雨天气或持续低光照时，对系统稳定供电时间不少于72小时。</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防雷系统</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05"/>
                    <w:jc w:val="both"/>
                  </w:pPr>
                  <w:r>
                    <w:rPr>
                      <w:sz w:val="19"/>
                    </w:rPr>
                    <w:t>（</w:t>
                  </w:r>
                  <w:r>
                    <w:rPr>
                      <w:sz w:val="19"/>
                    </w:rPr>
                    <w:t>1）直击雷防护：</w:t>
                  </w:r>
                </w:p>
                <w:p>
                  <w:pPr>
                    <w:pStyle w:val="null3"/>
                    <w:ind w:left="405"/>
                    <w:jc w:val="both"/>
                  </w:pPr>
                  <w:r>
                    <w:rPr>
                      <w:sz w:val="19"/>
                    </w:rPr>
                    <w:t>①接地装置接地电阻≤4Ω；</w:t>
                  </w:r>
                </w:p>
                <w:p>
                  <w:pPr>
                    <w:pStyle w:val="null3"/>
                    <w:ind w:left="405"/>
                    <w:jc w:val="both"/>
                  </w:pPr>
                  <w:r>
                    <w:rPr>
                      <w:sz w:val="19"/>
                    </w:rPr>
                    <w:t>②所有接地点进行等电位连接，接地电阻≤4Ω。</w:t>
                  </w:r>
                </w:p>
                <w:p>
                  <w:pPr>
                    <w:pStyle w:val="null3"/>
                    <w:ind w:left="405"/>
                    <w:jc w:val="both"/>
                  </w:pPr>
                  <w:r>
                    <w:rPr>
                      <w:sz w:val="19"/>
                    </w:rPr>
                    <w:t>（</w:t>
                  </w:r>
                  <w:r>
                    <w:rPr>
                      <w:sz w:val="19"/>
                    </w:rPr>
                    <w:t>2）建筑物防雷：</w:t>
                  </w:r>
                </w:p>
                <w:p>
                  <w:pPr>
                    <w:pStyle w:val="null3"/>
                    <w:ind w:left="405"/>
                    <w:jc w:val="both"/>
                  </w:pPr>
                  <w:r>
                    <w:rPr>
                      <w:sz w:val="19"/>
                    </w:rPr>
                    <w:t>①接地装置接地电阻≤4Ω。</w:t>
                  </w:r>
                </w:p>
                <w:p>
                  <w:pPr>
                    <w:pStyle w:val="null3"/>
                    <w:ind w:left="405"/>
                    <w:jc w:val="both"/>
                  </w:pPr>
                  <w:r>
                    <w:rPr>
                      <w:sz w:val="19"/>
                    </w:rPr>
                    <w:t>（</w:t>
                  </w:r>
                  <w:r>
                    <w:rPr>
                      <w:sz w:val="19"/>
                    </w:rPr>
                    <w:t>3）直流电源防雷：</w:t>
                  </w:r>
                </w:p>
                <w:p>
                  <w:pPr>
                    <w:pStyle w:val="null3"/>
                    <w:ind w:left="405"/>
                    <w:jc w:val="both"/>
                  </w:pPr>
                  <w:r>
                    <w:rPr>
                      <w:sz w:val="19"/>
                    </w:rPr>
                    <w:t>①标称放电电流≥20kA；</w:t>
                  </w:r>
                </w:p>
                <w:p>
                  <w:pPr>
                    <w:pStyle w:val="null3"/>
                    <w:ind w:left="405"/>
                    <w:jc w:val="both"/>
                  </w:pPr>
                  <w:r>
                    <w:rPr>
                      <w:sz w:val="19"/>
                    </w:rPr>
                    <w:t>②最大放电电流≥40kA；</w:t>
                  </w:r>
                </w:p>
                <w:p>
                  <w:pPr>
                    <w:pStyle w:val="null3"/>
                    <w:ind w:left="405"/>
                    <w:jc w:val="both"/>
                  </w:pPr>
                  <w:r>
                    <w:rPr>
                      <w:sz w:val="19"/>
                    </w:rPr>
                    <w:t>③电压保护水平≤4.5kV；</w:t>
                  </w:r>
                </w:p>
                <w:p>
                  <w:pPr>
                    <w:pStyle w:val="null3"/>
                    <w:ind w:left="405"/>
                    <w:jc w:val="both"/>
                  </w:pPr>
                  <w:r>
                    <w:rPr>
                      <w:sz w:val="19"/>
                    </w:rPr>
                    <w:t>④温度范围-40℃～+85℃。</w:t>
                  </w:r>
                </w:p>
                <w:p>
                  <w:pPr>
                    <w:pStyle w:val="null3"/>
                    <w:ind w:left="405"/>
                    <w:jc w:val="both"/>
                  </w:pPr>
                  <w:r>
                    <w:rPr>
                      <w:sz w:val="19"/>
                    </w:rPr>
                    <w:t>（</w:t>
                  </w:r>
                  <w:r>
                    <w:rPr>
                      <w:sz w:val="19"/>
                    </w:rPr>
                    <w:t>4）信号电缆防雷：</w:t>
                  </w:r>
                </w:p>
                <w:p>
                  <w:pPr>
                    <w:pStyle w:val="null3"/>
                    <w:ind w:left="405"/>
                    <w:jc w:val="both"/>
                  </w:pPr>
                  <w:r>
                    <w:rPr>
                      <w:sz w:val="19"/>
                    </w:rPr>
                    <w:t>①最大持续工作电压≥15V；</w:t>
                  </w:r>
                </w:p>
                <w:p>
                  <w:pPr>
                    <w:pStyle w:val="null3"/>
                    <w:ind w:left="405"/>
                    <w:jc w:val="both"/>
                  </w:pPr>
                  <w:r>
                    <w:rPr>
                      <w:sz w:val="19"/>
                    </w:rPr>
                    <w:t>②额定放电电流≥10kA；</w:t>
                  </w:r>
                </w:p>
                <w:p>
                  <w:pPr>
                    <w:pStyle w:val="null3"/>
                    <w:ind w:left="405"/>
                    <w:jc w:val="both"/>
                  </w:pPr>
                  <w:r>
                    <w:rPr>
                      <w:sz w:val="19"/>
                    </w:rPr>
                    <w:t>③响应时间≤1ns；</w:t>
                  </w:r>
                </w:p>
                <w:p>
                  <w:pPr>
                    <w:pStyle w:val="null3"/>
                    <w:ind w:left="405"/>
                    <w:jc w:val="both"/>
                  </w:pPr>
                  <w:r>
                    <w:rPr>
                      <w:sz w:val="19"/>
                    </w:rPr>
                    <w:t>④温度范围-40℃～+85℃。</w:t>
                  </w:r>
                </w:p>
                <w:p>
                  <w:pPr>
                    <w:pStyle w:val="null3"/>
                    <w:ind w:left="405"/>
                    <w:jc w:val="both"/>
                  </w:pPr>
                  <w:r>
                    <w:rPr>
                      <w:sz w:val="19"/>
                    </w:rPr>
                    <w:t>（</w:t>
                  </w:r>
                  <w:r>
                    <w:rPr>
                      <w:sz w:val="19"/>
                    </w:rPr>
                    <w:t>5）数据接口（数据采集器-值班程序）防雷：</w:t>
                  </w:r>
                </w:p>
                <w:p>
                  <w:pPr>
                    <w:pStyle w:val="null3"/>
                    <w:ind w:left="405"/>
                    <w:jc w:val="both"/>
                  </w:pPr>
                  <w:r>
                    <w:rPr>
                      <w:sz w:val="19"/>
                    </w:rPr>
                    <w:t>①最大持续工作电压≥12V；</w:t>
                  </w:r>
                </w:p>
                <w:p>
                  <w:pPr>
                    <w:pStyle w:val="null3"/>
                    <w:ind w:left="405"/>
                    <w:jc w:val="both"/>
                  </w:pPr>
                  <w:r>
                    <w:rPr>
                      <w:sz w:val="19"/>
                    </w:rPr>
                    <w:t>②标称放电电流≥500A；</w:t>
                  </w:r>
                </w:p>
                <w:p>
                  <w:pPr>
                    <w:pStyle w:val="null3"/>
                    <w:ind w:left="405"/>
                    <w:jc w:val="both"/>
                  </w:pPr>
                  <w:r>
                    <w:rPr>
                      <w:sz w:val="19"/>
                    </w:rPr>
                    <w:t>③电压保护水平＞20V；</w:t>
                  </w:r>
                </w:p>
                <w:p>
                  <w:pPr>
                    <w:pStyle w:val="null3"/>
                    <w:ind w:left="405"/>
                    <w:jc w:val="both"/>
                  </w:pPr>
                  <w:r>
                    <w:rPr>
                      <w:sz w:val="19"/>
                    </w:rPr>
                    <w:t>④响应时间≤1ns；</w:t>
                  </w:r>
                </w:p>
                <w:p>
                  <w:pPr>
                    <w:pStyle w:val="null3"/>
                    <w:ind w:left="405"/>
                    <w:jc w:val="both"/>
                  </w:pPr>
                  <w:r>
                    <w:rPr>
                      <w:sz w:val="19"/>
                    </w:rPr>
                    <w:t>⑤温度范围-40℃～+85℃。</w:t>
                  </w:r>
                </w:p>
                <w:p>
                  <w:pPr>
                    <w:pStyle w:val="null3"/>
                    <w:ind w:left="405"/>
                    <w:jc w:val="both"/>
                  </w:pPr>
                  <w:r>
                    <w:rPr>
                      <w:sz w:val="19"/>
                    </w:rPr>
                    <w:t>（</w:t>
                  </w:r>
                  <w:r>
                    <w:rPr>
                      <w:sz w:val="19"/>
                    </w:rPr>
                    <w:t>6）数据接口（通信设备-值班程序）防雷：</w:t>
                  </w:r>
                </w:p>
                <w:p>
                  <w:pPr>
                    <w:pStyle w:val="null3"/>
                    <w:ind w:left="405"/>
                    <w:jc w:val="both"/>
                  </w:pPr>
                  <w:r>
                    <w:rPr>
                      <w:sz w:val="19"/>
                    </w:rPr>
                    <w:t>①最大持续工作电压≥8V；</w:t>
                  </w:r>
                </w:p>
                <w:p>
                  <w:pPr>
                    <w:pStyle w:val="null3"/>
                    <w:ind w:left="405"/>
                    <w:jc w:val="both"/>
                  </w:pPr>
                  <w:r>
                    <w:rPr>
                      <w:sz w:val="19"/>
                    </w:rPr>
                    <w:t>②标称放电电流≥10kA；</w:t>
                  </w:r>
                </w:p>
                <w:p>
                  <w:pPr>
                    <w:pStyle w:val="null3"/>
                    <w:ind w:left="405"/>
                    <w:jc w:val="both"/>
                  </w:pPr>
                  <w:r>
                    <w:rPr>
                      <w:sz w:val="19"/>
                    </w:rPr>
                    <w:t>③电压保护水平≤600V；</w:t>
                  </w:r>
                </w:p>
                <w:p>
                  <w:pPr>
                    <w:pStyle w:val="null3"/>
                    <w:ind w:left="405"/>
                    <w:jc w:val="both"/>
                  </w:pPr>
                  <w:r>
                    <w:rPr>
                      <w:sz w:val="19"/>
                    </w:rPr>
                    <w:t>④响应时间≤1ns；</w:t>
                  </w:r>
                </w:p>
                <w:p>
                  <w:pPr>
                    <w:pStyle w:val="null3"/>
                    <w:ind w:left="405"/>
                    <w:jc w:val="both"/>
                  </w:pPr>
                  <w:r>
                    <w:rPr>
                      <w:sz w:val="19"/>
                    </w:rPr>
                    <w:t>⑤温度范围-40℃～+85℃。</w:t>
                  </w:r>
                </w:p>
              </w:tc>
            </w:tr>
          </w:tbl>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sz w:val="21"/>
              </w:rPr>
              <w:t>本项目整体技术要求详见</w:t>
            </w:r>
            <w:r>
              <w:rPr>
                <w:sz w:val="21"/>
              </w:rPr>
              <w:t>“第二章 采购需求”中“一、项目概况”的“</w:t>
            </w:r>
            <w:r>
              <w:rPr>
                <w:sz w:val="21"/>
                <w:b/>
              </w:rPr>
              <w:t>（四）项目整体技术要求</w:t>
            </w:r>
            <w:r>
              <w:rPr>
                <w:sz w:val="21"/>
              </w:rPr>
              <w:t>”内容。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数据接收软件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03"/>
              <w:gridCol w:w="969"/>
              <w:gridCol w:w="562"/>
              <w:gridCol w:w="3664"/>
            </w:tblGrid>
            <w:tr>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仪器名称</w:t>
                  </w:r>
                </w:p>
              </w:tc>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技术指标</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数据接收软件</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95"/>
                    <w:jc w:val="both"/>
                  </w:pPr>
                  <w:r>
                    <w:rPr>
                      <w:sz w:val="19"/>
                    </w:rPr>
                    <w:t>（</w:t>
                  </w:r>
                  <w:r>
                    <w:rPr>
                      <w:sz w:val="19"/>
                    </w:rPr>
                    <w:t>1）数据接收功能：能够实时接收近岸防灾减灾监测数据、生态要素观测数据、智能监控视频流数据；</w:t>
                  </w:r>
                </w:p>
                <w:p>
                  <w:pPr>
                    <w:pStyle w:val="null3"/>
                    <w:ind w:left="495"/>
                    <w:jc w:val="both"/>
                  </w:pPr>
                  <w:r>
                    <w:rPr>
                      <w:sz w:val="19"/>
                    </w:rPr>
                    <w:t>（</w:t>
                  </w:r>
                  <w:r>
                    <w:rPr>
                      <w:sz w:val="19"/>
                    </w:rPr>
                    <w:t>2）数据处理功能：能够对接收的数据进行质量控制、标准化处理；</w:t>
                  </w:r>
                </w:p>
                <w:p>
                  <w:pPr>
                    <w:pStyle w:val="null3"/>
                    <w:ind w:left="495"/>
                    <w:jc w:val="both"/>
                  </w:pPr>
                  <w:r>
                    <w:rPr>
                      <w:sz w:val="19"/>
                    </w:rPr>
                    <w:t>（</w:t>
                  </w:r>
                  <w:r>
                    <w:rPr>
                      <w:sz w:val="19"/>
                    </w:rPr>
                    <w:t>3）数据存储功能：搭建数据库，将数据文件按照特定的规范与标准进行存储；</w:t>
                  </w:r>
                </w:p>
                <w:p>
                  <w:pPr>
                    <w:pStyle w:val="null3"/>
                    <w:ind w:left="495"/>
                    <w:jc w:val="both"/>
                  </w:pPr>
                  <w:r>
                    <w:rPr>
                      <w:sz w:val="19"/>
                    </w:rPr>
                    <w:t>（</w:t>
                  </w:r>
                  <w:r>
                    <w:rPr>
                      <w:sz w:val="19"/>
                    </w:rPr>
                    <w:t>4）数据实时显示：具备站点、实时观测数据、接收情况、故障信息、报警信息的实时显示功能。</w:t>
                  </w:r>
                </w:p>
                <w:p>
                  <w:pPr>
                    <w:pStyle w:val="null3"/>
                    <w:ind w:left="495"/>
                    <w:jc w:val="both"/>
                  </w:pPr>
                  <w:r>
                    <w:rPr>
                      <w:sz w:val="19"/>
                    </w:rPr>
                    <w:t>（</w:t>
                  </w:r>
                  <w:r>
                    <w:rPr>
                      <w:sz w:val="19"/>
                    </w:rPr>
                    <w:t>5）视频监控功能：实时显示视频监控画面，并能够在视频中叠加关键要素值进行显示。</w:t>
                  </w:r>
                </w:p>
                <w:p>
                  <w:pPr>
                    <w:pStyle w:val="null3"/>
                    <w:ind w:left="495"/>
                    <w:jc w:val="both"/>
                  </w:pPr>
                  <w:r>
                    <w:rPr>
                      <w:sz w:val="19"/>
                    </w:rPr>
                    <w:t>（</w:t>
                  </w:r>
                  <w:r>
                    <w:rPr>
                      <w:sz w:val="19"/>
                    </w:rPr>
                    <w:t>6）数据查询和统计功能：完成相关模块，实现历史时段数据查询，自动统计观测数据数量、报文数量情况。</w:t>
                  </w:r>
                </w:p>
                <w:p>
                  <w:pPr>
                    <w:pStyle w:val="null3"/>
                    <w:ind w:left="495"/>
                    <w:jc w:val="both"/>
                  </w:pPr>
                  <w:r>
                    <w:rPr>
                      <w:sz w:val="19"/>
                    </w:rPr>
                    <w:t>（</w:t>
                  </w:r>
                  <w:r>
                    <w:rPr>
                      <w:sz w:val="19"/>
                    </w:rPr>
                    <w:t>7）仪器设备管理：实现仪器设备信息化，传感器在用、报废全周期管理的信息化集成与展示。手动录入传感器巡检、维修维护等作业信息。</w:t>
                  </w:r>
                </w:p>
                <w:p>
                  <w:pPr>
                    <w:pStyle w:val="null3"/>
                    <w:ind w:left="495"/>
                    <w:jc w:val="both"/>
                  </w:pPr>
                  <w:r>
                    <w:rPr>
                      <w:sz w:val="19"/>
                    </w:rPr>
                    <w:t>（</w:t>
                  </w:r>
                  <w:r>
                    <w:rPr>
                      <w:sz w:val="19"/>
                    </w:rPr>
                    <w:t>8）数据报告生成：根据观测站的观测数据，将经过数据处理的近岸防灾减灾监测数据通过预置模板生成风暴潮、漫滩漫堤、越岸浪的可视化报告显示内容包括漫滩范围、水深、浪高等，完成报告制作生成、导出功能。</w:t>
                  </w:r>
                </w:p>
                <w:p>
                  <w:pPr>
                    <w:pStyle w:val="null3"/>
                    <w:ind w:left="495"/>
                    <w:jc w:val="both"/>
                  </w:pPr>
                  <w:r>
                    <w:rPr>
                      <w:sz w:val="19"/>
                    </w:rPr>
                    <w:t>（</w:t>
                  </w:r>
                  <w:r>
                    <w:rPr>
                      <w:sz w:val="19"/>
                    </w:rPr>
                    <w:t>9）系统管理：通过系统管理可设置观要素阈值，以及对视频监控进行设置，如设置录制时长、录制频率、录制保存路径、截图频率、截图保存路径。</w:t>
                  </w:r>
                </w:p>
                <w:p>
                  <w:pPr>
                    <w:pStyle w:val="null3"/>
                    <w:ind w:left="495"/>
                    <w:jc w:val="both"/>
                  </w:pPr>
                  <w:r>
                    <w:rPr>
                      <w:sz w:val="19"/>
                    </w:rPr>
                    <w:t>（</w:t>
                  </w:r>
                  <w:r>
                    <w:rPr>
                      <w:sz w:val="19"/>
                    </w:rPr>
                    <w:t>10）用户管理：通过用户管理可实现用户的增加、删除、用户信息修改及用户详细信息显示等功能</w:t>
                  </w:r>
                </w:p>
                <w:p>
                  <w:pPr>
                    <w:pStyle w:val="null3"/>
                    <w:ind w:firstLine="420"/>
                    <w:jc w:val="both"/>
                  </w:pPr>
                  <w:r>
                    <w:rPr>
                      <w:sz w:val="19"/>
                    </w:rPr>
                    <w:t>设备技术指标：</w:t>
                  </w:r>
                </w:p>
                <w:p>
                  <w:pPr>
                    <w:pStyle w:val="null3"/>
                    <w:ind w:left="495"/>
                    <w:jc w:val="both"/>
                  </w:pPr>
                  <w:r>
                    <w:rPr>
                      <w:sz w:val="19"/>
                    </w:rPr>
                    <w:t>（1</w:t>
                  </w:r>
                  <w:r>
                    <w:rPr>
                      <w:sz w:val="19"/>
                    </w:rPr>
                    <w:t>1）系统实现 7x24 小时的连续运行，平均年无故障运行率大于 99%；</w:t>
                  </w:r>
                </w:p>
                <w:p>
                  <w:pPr>
                    <w:pStyle w:val="null3"/>
                    <w:ind w:left="495"/>
                    <w:jc w:val="both"/>
                  </w:pPr>
                  <w:r>
                    <w:rPr>
                      <w:sz w:val="19"/>
                    </w:rPr>
                    <w:t>（1</w:t>
                  </w:r>
                  <w:r>
                    <w:rPr>
                      <w:sz w:val="19"/>
                    </w:rPr>
                    <w:t>2）最大并发用户数不少于100人；非高峰时期，单次操作资源搜索平均响应时间在 5秒以内；高峰时期系统响应时间小于10 秒；</w:t>
                  </w:r>
                </w:p>
                <w:p>
                  <w:pPr>
                    <w:pStyle w:val="null3"/>
                    <w:ind w:left="495"/>
                    <w:jc w:val="both"/>
                  </w:pPr>
                  <w:r>
                    <w:rPr>
                      <w:sz w:val="19"/>
                    </w:rPr>
                    <w:t>（1</w:t>
                  </w:r>
                  <w:r>
                    <w:rPr>
                      <w:sz w:val="19"/>
                    </w:rPr>
                    <w:t>3）数据自主搜集的自主响应时间小于 10 秒；</w:t>
                  </w:r>
                </w:p>
                <w:p>
                  <w:pPr>
                    <w:pStyle w:val="null3"/>
                    <w:ind w:left="495"/>
                    <w:jc w:val="both"/>
                  </w:pPr>
                  <w:r>
                    <w:rPr>
                      <w:sz w:val="19"/>
                    </w:rPr>
                    <w:t>（1</w:t>
                  </w:r>
                  <w:r>
                    <w:rPr>
                      <w:sz w:val="19"/>
                    </w:rPr>
                    <w:t>4）常规数据查询响应时间&lt;5s；模糊查询响应时间&lt;10s；</w:t>
                  </w:r>
                </w:p>
                <w:p>
                  <w:pPr>
                    <w:pStyle w:val="null3"/>
                    <w:ind w:left="495"/>
                    <w:jc w:val="both"/>
                  </w:pPr>
                  <w:r>
                    <w:rPr>
                      <w:sz w:val="21"/>
                    </w:rPr>
                    <w:t>（1</w:t>
                  </w:r>
                  <w:r>
                    <w:rPr>
                      <w:sz w:val="21"/>
                    </w:rPr>
                    <w:t>5）数据下载接口的响应时间小于6秒；</w:t>
                  </w:r>
                </w:p>
              </w:tc>
            </w:tr>
          </w:tbl>
          <w:p/>
        </w:tc>
      </w:tr>
      <w:tr>
        <w:tc>
          <w:tcPr>
            <w:tcW w:type="dxa" w:w="2076"/>
          </w:tcPr>
          <w:p/>
        </w:tc>
        <w:tc>
          <w:tcPr>
            <w:tcW w:type="dxa" w:w="415"/>
          </w:tcPr>
          <w:p>
            <w:pPr>
              <w:pStyle w:val="null3"/>
            </w:pPr>
            <w:r>
              <w:rPr/>
              <w:t>2</w:t>
            </w:r>
          </w:p>
        </w:tc>
        <w:tc>
          <w:tcPr>
            <w:tcW w:type="dxa" w:w="5814"/>
          </w:tcPr>
          <w:p>
            <w:pPr>
              <w:pStyle w:val="null3"/>
            </w:pPr>
            <w:r>
              <w:rPr>
                <w:sz w:val="21"/>
              </w:rPr>
              <w:t>本项目整体技术要求详见</w:t>
            </w:r>
            <w:r>
              <w:rPr>
                <w:sz w:val="21"/>
              </w:rPr>
              <w:t>“第二章 采购需求”中“一、项目概况”的“</w:t>
            </w:r>
            <w:r>
              <w:rPr>
                <w:sz w:val="21"/>
                <w:b/>
              </w:rPr>
              <w:t>（四）项目整体技术要求</w:t>
            </w:r>
            <w:r>
              <w:rPr>
                <w:sz w:val="21"/>
              </w:rPr>
              <w:t>”内容。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广东省地质环境监测总站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采购机构代理服务收费标准：按照有关规定向中标（成交）供应商收取服务费以中标金额为基准根据招标代理委托项目代理服务费按照国家计委《招标代理服务收费管理暂行办法》 （计价格〔2002〕1980号）的有关标准（货物类）计取。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财政性资金，本项目属于政府采购项目。2、招标文件附件：投标人应将招标公告中“相关附件”（如有）内容填写好相关信息后附在投标文件中。3、投标文件内证明材料：投标人所提供的证明材料复印件或扫描件须清晰可辨，明确反映相关投标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广东信诚招标代理咨询有限公司</w:t>
      </w:r>
      <w:r>
        <w:rPr/>
        <w:t>代收。具体操作要求详见</w:t>
      </w:r>
      <w:r>
        <w:rPr/>
        <w:t>广东信诚招标代理咨询有限公司</w:t>
      </w:r>
      <w:r>
        <w:rPr/>
        <w:t>有关指引，递交事宜请自行咨询</w:t>
      </w:r>
      <w:r>
        <w:rPr/>
        <w:t>广东信诚招标代理咨询有限公司</w:t>
      </w:r>
      <w:r>
        <w:rPr/>
        <w:t>；请各投标人在投标文件递交截止时间前按须知前附表规定的金额递交至</w:t>
      </w:r>
      <w:r>
        <w:rPr/>
        <w:t>广东信诚招标代理咨询有限公司</w:t>
      </w:r>
      <w:r>
        <w:rPr/>
        <w:t>，到账情况以开标时</w:t>
      </w:r>
      <w:r>
        <w:rPr/>
        <w:t>广东信诚招标代理咨询有限公司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中国采购与招标网（http://www.chinabidding.com.cn），中国财经报网 （http://www.cfen.com.cn/），广东信诚招标代理咨询有限公司(http://www.gdxczb.cn/)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中国采购与招标网（http://www.chinabidding.com.cn），中国财经报网 （http://www.cfen.com.cn/），广东信诚招标代理咨询有限公司(http://www.gdxczb.cn/)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广州市越秀区德政北路538号17楼1708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省级海洋生态综合在线监测站点建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采购包1（2026年省级海洋生态综合在线监测站点建设）：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强制采购节能产品在价格评审中不作价格扣除。）</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采购包1（2026年省级海洋生态综合在线监测站点建设）：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提供书面声明（格式自定）或提供以下资料：提供投标文件提交截止日前12个月内任意1个月依法缴纳税收和社会保障资金的相关材料。如依法免税或不需要缴纳社会保障资金的，提供相应证明材料；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定）或提供以下资料：提供2024年度或2025年度的财务状况报告或基本开户行出具的资信证明或财政部门认可的政府采购专业担保机构出具的担保函,成立不足一年的单位可以提供响应文件提交截止前上一季度或月份财务会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提供书面声明（格式自定）或相关证明材料；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6）法律、行政法规规定的其他条件：按投标函相关承诺要求内容。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需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其他资格要求1</w:t>
            </w:r>
          </w:p>
        </w:tc>
        <w:tc>
          <w:tcPr>
            <w:tcW w:type="dxa" w:w="4238"/>
          </w:tcPr>
          <w:p>
            <w:pPr>
              <w:pStyle w:val="null3"/>
            </w:pPr>
            <w:r>
              <w:rPr/>
              <w:t>本采购包不接受联合体投标。未以联合体形式投标或提供书面声明（格式自定）。</w:t>
            </w:r>
          </w:p>
        </w:tc>
      </w:tr>
      <w:tr>
        <w:tc>
          <w:tcPr>
            <w:tcW w:type="dxa" w:w="890"/>
          </w:tcPr>
          <w:p>
            <w:pPr>
              <w:pStyle w:val="null3"/>
            </w:pPr>
            <w:r>
              <w:rPr/>
              <w:t>9</w:t>
            </w:r>
          </w:p>
        </w:tc>
        <w:tc>
          <w:tcPr>
            <w:tcW w:type="dxa" w:w="3178"/>
          </w:tcPr>
          <w:p>
            <w:pPr>
              <w:pStyle w:val="null3"/>
            </w:pPr>
            <w:r>
              <w:rPr/>
              <w:t>其他资格要求2</w:t>
            </w:r>
          </w:p>
        </w:tc>
        <w:tc>
          <w:tcPr>
            <w:tcW w:type="dxa" w:w="4238"/>
          </w:tcPr>
          <w:p>
            <w:pPr>
              <w:pStyle w:val="null3"/>
            </w:pPr>
            <w:r>
              <w:rPr/>
              <w:t>本采购包不允许分包。提供书面声明（格式自定）。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中小企业以供应商填写的《中小企业声明函》（见投标文件格式）为判定标准，残疾人福利性单位以供应商提供的《残疾人福利性单位声明函》（见投标文件格式）为判定标准，监狱企业须供应商提供由省级以上监狱管理局、戒毒管理局（含新疆生产建设兵团）出具的属于监狱企业的证明文件。本采购包的中小企业划分标准所属行业为：工业。</w:t>
            </w:r>
          </w:p>
        </w:tc>
      </w:tr>
    </w:tbl>
    <w:p>
      <w:pPr>
        <w:pStyle w:val="null3"/>
        <w:ind w:firstLine="480"/>
      </w:pPr>
      <w:r>
        <w:rPr/>
        <w:t>表二符合性审查表：</w:t>
      </w:r>
    </w:p>
    <w:p>
      <w:pPr>
        <w:pStyle w:val="null3"/>
      </w:pPr>
      <w:r>
        <w:rPr/>
        <w:t>采购包1（2026年省级海洋生态综合在线监测站点建设）：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投标总报价是固定价且未超过本项目采购预算。</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采购包1(2026年省级海洋生态综合在线监测站点建设):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(14.0分)</w:t>
            </w:r>
          </w:p>
        </w:tc>
        <w:tc>
          <w:tcPr>
            <w:tcW w:type="dxa" w:w="5076"/>
          </w:tcPr>
          <w:p>
            <w:pPr>
              <w:pStyle w:val="null3"/>
              <w:jc w:val="left"/>
            </w:pPr>
            <w:r>
              <w:rPr/>
              <w:t>根据投标人对采购需求书中带“▲”号的重要技术参数指标的响应程度进行评审：每项“▲”号条款指标全部响应且满足要求得1分，任何一条及以上参数未响应或负偏离，则该项不得分。本项最高14分。 如采购需求书中有要求提供证明文件的以要求为准，没有要求提供证明文件的，以按投标文件 “技术要求响应表”中的投标人填写的“是否偏离”为准，未填写或未响应的视为负偏离。</w:t>
            </w:r>
          </w:p>
        </w:tc>
      </w:tr>
      <w:tr>
        <w:tc>
          <w:tcPr>
            <w:tcW w:type="dxa" w:w="922"/>
            <w:gridSpan w:val="2"/>
            <w:vMerge/>
          </w:tcPr>
          <w:p/>
        </w:tc>
        <w:tc>
          <w:tcPr>
            <w:tcW w:type="dxa" w:w="2307"/>
          </w:tcPr>
          <w:p>
            <w:pPr>
              <w:pStyle w:val="null3"/>
              <w:jc w:val="left"/>
            </w:pPr>
            <w:r>
              <w:rPr/>
              <w:t>项目实施方案1 (2.0分)</w:t>
            </w:r>
          </w:p>
        </w:tc>
        <w:tc>
          <w:tcPr>
            <w:tcW w:type="dxa" w:w="5076"/>
          </w:tcPr>
          <w:p>
            <w:pPr>
              <w:pStyle w:val="null3"/>
              <w:jc w:val="left"/>
            </w:pPr>
            <w:r>
              <w:rPr/>
              <w:t>根据投标人结合采购需求中的“标的提供的时间”、“1）基础设施建设要求”和“2）观测设备集成与安装调试要求”提供的安装、调试、试运行等服务实施执行方案进行评审： 投标人提供的项目实施方案中包含上述所有内容的，得2分，有缺漏项的，评审项“项目实施方案1”和“项目实施方案2 ”均不得分。</w:t>
            </w:r>
          </w:p>
        </w:tc>
      </w:tr>
      <w:tr>
        <w:tc>
          <w:tcPr>
            <w:tcW w:type="dxa" w:w="922"/>
            <w:gridSpan w:val="2"/>
            <w:vMerge/>
          </w:tcPr>
          <w:p/>
        </w:tc>
        <w:tc>
          <w:tcPr>
            <w:tcW w:type="dxa" w:w="2307"/>
          </w:tcPr>
          <w:p>
            <w:pPr>
              <w:pStyle w:val="null3"/>
              <w:jc w:val="left"/>
            </w:pPr>
            <w:r>
              <w:rPr/>
              <w:t>项目实施方案2 (8.0分)</w:t>
            </w:r>
            <w:r>
              <w:rPr/>
              <w:t>）</w:t>
            </w:r>
          </w:p>
        </w:tc>
        <w:tc>
          <w:tcPr>
            <w:tcW w:type="dxa" w:w="5076"/>
          </w:tcPr>
          <w:p>
            <w:pPr>
              <w:pStyle w:val="null3"/>
              <w:jc w:val="left"/>
            </w:pPr>
            <w:r>
              <w:rPr/>
              <w:t>根据投标人结合采购需求中的“标的提供的时间”、“1）基础设施建设要求”和“2）观测设备集成与安装调试要求”提供的安装、调试、试运行等服务实施执行方案进行评审： （1）投标人提供的方案完全满足或优于项目需求，得8分； （2）投标人提供的方案部分满足项目需求，得5分； （3）投标人提供的方案不能满足项目需求，得2分； （4）其他情况得0分。</w:t>
            </w:r>
          </w:p>
        </w:tc>
      </w:tr>
      <w:tr>
        <w:tc>
          <w:tcPr>
            <w:tcW w:type="dxa" w:w="922"/>
            <w:gridSpan w:val="2"/>
            <w:vMerge/>
          </w:tcPr>
          <w:p/>
        </w:tc>
        <w:tc>
          <w:tcPr>
            <w:tcW w:type="dxa" w:w="2307"/>
          </w:tcPr>
          <w:p>
            <w:pPr>
              <w:pStyle w:val="null3"/>
              <w:jc w:val="left"/>
            </w:pPr>
            <w:r>
              <w:rPr/>
              <w:t>质量控制方案1 (2.0分)</w:t>
            </w:r>
          </w:p>
        </w:tc>
        <w:tc>
          <w:tcPr>
            <w:tcW w:type="dxa" w:w="5076"/>
          </w:tcPr>
          <w:p>
            <w:pPr>
              <w:pStyle w:val="null3"/>
              <w:jc w:val="left"/>
            </w:pPr>
            <w:r>
              <w:rPr/>
              <w:t>根据投标人结合采购需求的“一、项目概况”中“（2）技术要求”要求（不含“▲”号条款），提供的质量控制方案（内容包括基础设施建设方案、观测设备集成与安装调试计划、设备试运行计划）进行评审： 投标人提供的质量控制方案中包含上述所有内容的，得2分，有缺漏项的，评审项“质量控制方案1”和“质量控制方案2”不得分。</w:t>
            </w:r>
          </w:p>
        </w:tc>
      </w:tr>
      <w:tr>
        <w:tc>
          <w:tcPr>
            <w:tcW w:type="dxa" w:w="922"/>
            <w:gridSpan w:val="2"/>
            <w:vMerge/>
          </w:tcPr>
          <w:p/>
        </w:tc>
        <w:tc>
          <w:tcPr>
            <w:tcW w:type="dxa" w:w="2307"/>
          </w:tcPr>
          <w:p>
            <w:pPr>
              <w:pStyle w:val="null3"/>
              <w:jc w:val="left"/>
            </w:pPr>
            <w:r>
              <w:rPr/>
              <w:t>质量控制方案2 (7.0分)</w:t>
            </w:r>
            <w:r>
              <w:rPr/>
              <w:t>）</w:t>
            </w:r>
          </w:p>
        </w:tc>
        <w:tc>
          <w:tcPr>
            <w:tcW w:type="dxa" w:w="5076"/>
          </w:tcPr>
          <w:p>
            <w:pPr>
              <w:pStyle w:val="null3"/>
              <w:jc w:val="left"/>
            </w:pPr>
            <w:r>
              <w:rPr/>
              <w:t>根据投标人结合采购需求的“一、项目概况”中“（2）技术要求”要求（不含“▲”号条款），提供的质量控制方案（内容包括基础设施建设方案、观测设备集成与安装调试计划、设备试运行计划）进行评审： （1）投标人提供的方案完全满足或优于项目需求，得7分； （2）投标人提供的方案部分满足项目需求，得4分； （3）投标人提供的方案不能满足项目需求，得1分； （4）其他情况得0分。</w:t>
            </w:r>
          </w:p>
        </w:tc>
      </w:tr>
      <w:tr>
        <w:tc>
          <w:tcPr>
            <w:tcW w:type="dxa" w:w="922"/>
            <w:gridSpan w:val="2"/>
            <w:vMerge/>
          </w:tcPr>
          <w:p/>
        </w:tc>
        <w:tc>
          <w:tcPr>
            <w:tcW w:type="dxa" w:w="2307"/>
          </w:tcPr>
          <w:p>
            <w:pPr>
              <w:pStyle w:val="null3"/>
              <w:jc w:val="left"/>
            </w:pPr>
            <w:r>
              <w:rPr/>
              <w:t>软件设计方案1 (2.0分)</w:t>
            </w:r>
          </w:p>
        </w:tc>
        <w:tc>
          <w:tcPr>
            <w:tcW w:type="dxa" w:w="5076"/>
          </w:tcPr>
          <w:p>
            <w:pPr>
              <w:pStyle w:val="null3"/>
              <w:jc w:val="left"/>
            </w:pPr>
            <w:r>
              <w:rPr/>
              <w:t>根据投标人对采购需求中“3）数据接收软件要求”提供的软件设计方案（内容包括数据处理设计规范、监控视频及关键观测要素监控实现方式）进行评审： 投标人提供的软件设计方案中包含上述所有内容的，得2分，有缺漏项的，评审项“软件设计方案1”和“软件设计方案2”不得分。</w:t>
            </w:r>
          </w:p>
        </w:tc>
      </w:tr>
      <w:tr>
        <w:tc>
          <w:tcPr>
            <w:tcW w:type="dxa" w:w="922"/>
            <w:gridSpan w:val="2"/>
            <w:vMerge/>
          </w:tcPr>
          <w:p/>
        </w:tc>
        <w:tc>
          <w:tcPr>
            <w:tcW w:type="dxa" w:w="2307"/>
          </w:tcPr>
          <w:p>
            <w:pPr>
              <w:pStyle w:val="null3"/>
              <w:jc w:val="left"/>
            </w:pPr>
            <w:r>
              <w:rPr/>
              <w:t>软件设计方案2 (7.0分)</w:t>
            </w:r>
            <w:r>
              <w:rPr/>
              <w:t>）</w:t>
            </w:r>
          </w:p>
        </w:tc>
        <w:tc>
          <w:tcPr>
            <w:tcW w:type="dxa" w:w="5076"/>
          </w:tcPr>
          <w:p>
            <w:pPr>
              <w:pStyle w:val="null3"/>
              <w:jc w:val="left"/>
            </w:pPr>
            <w:r>
              <w:rPr/>
              <w:t>根据投标人对采购需求中“3）数据接收软件要求”提供的软件设计方案（内容包括数据处理设计规范、监控视频及关键观测要素监控实现方式）进行评审： （1）投标人提供的方案完全满足或优于项目需求，得7分； （2）投标人提供的方案部分满足项目需求，得4分； （3）投标人提供的方案不能满足项目需求，得1分； （4）无或其他情况得0分。</w:t>
            </w:r>
          </w:p>
        </w:tc>
      </w:tr>
      <w:tr>
        <w:tc>
          <w:tcPr>
            <w:tcW w:type="dxa" w:w="922"/>
            <w:gridSpan w:val="2"/>
            <w:vMerge/>
          </w:tcPr>
          <w:p/>
        </w:tc>
        <w:tc>
          <w:tcPr>
            <w:tcW w:type="dxa" w:w="2307"/>
          </w:tcPr>
          <w:p>
            <w:pPr>
              <w:pStyle w:val="null3"/>
              <w:jc w:val="left"/>
            </w:pPr>
            <w:r>
              <w:rPr/>
              <w:t>售后保障方案1 (1.0分)</w:t>
            </w:r>
          </w:p>
        </w:tc>
        <w:tc>
          <w:tcPr>
            <w:tcW w:type="dxa" w:w="5076"/>
          </w:tcPr>
          <w:p>
            <w:pPr>
              <w:pStyle w:val="null3"/>
              <w:jc w:val="left"/>
            </w:pPr>
            <w:r>
              <w:rPr/>
              <w:t>根据投标人对采购需求中“（四）质量保证及售后服务”提供的售后保障方案（内容包括质保期内设备故障检测方案、设备维修方案）进行评审： 投标人提供的售后保障方案中包含上述所有内容的，得1分，有缺漏项的，评审项“售后保障方案1”和“售后保障方案2”不得分。</w:t>
            </w:r>
          </w:p>
        </w:tc>
      </w:tr>
      <w:tr>
        <w:tc>
          <w:tcPr>
            <w:tcW w:type="dxa" w:w="922"/>
            <w:gridSpan w:val="2"/>
            <w:vMerge/>
          </w:tcPr>
          <w:p/>
        </w:tc>
        <w:tc>
          <w:tcPr>
            <w:tcW w:type="dxa" w:w="2307"/>
          </w:tcPr>
          <w:p>
            <w:pPr>
              <w:pStyle w:val="null3"/>
              <w:jc w:val="left"/>
            </w:pPr>
            <w:r>
              <w:rPr/>
              <w:t>售后保障方案2 (7.0分)</w:t>
            </w:r>
            <w:r>
              <w:rPr/>
              <w:t>）</w:t>
            </w:r>
          </w:p>
        </w:tc>
        <w:tc>
          <w:tcPr>
            <w:tcW w:type="dxa" w:w="5076"/>
          </w:tcPr>
          <w:p>
            <w:pPr>
              <w:pStyle w:val="null3"/>
              <w:jc w:val="left"/>
            </w:pPr>
            <w:r>
              <w:rPr/>
              <w:t>根据投标人对采购需求中“（四）质量保证及售后服务”提供的售后保障方案（内容包括质保期内设备故障检测方案、设备维修方案）进行评审： （1）投标人提供的方案完全满足或优于项目需求，得7分； （2）投标人提供的方案部分满足项目需求，得4分； （3）投标人提供的方案不能满足项目需求，得1分； （4）无或其他情况得0分。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(3.0分)</w:t>
            </w:r>
          </w:p>
        </w:tc>
        <w:tc>
          <w:tcPr>
            <w:tcW w:type="dxa" w:w="5076"/>
          </w:tcPr>
          <w:p>
            <w:pPr>
              <w:pStyle w:val="null3"/>
              <w:jc w:val="left"/>
            </w:pPr>
            <w:r>
              <w:rPr/>
              <w:t>投标人具有以下管理体系认证证书的，每提供一项得1分，最高得3分。 （1）具有有效期内的质量管理体系认证证书； （2）具有有效期内的职业健康安全管理体系认证证书； （3）具有有效期内的环境管理体系认证证书。 注：（1）须提供在全国认证认可信息公共服务平台上http://cx.cnca.cn 查询结果的截图（须清晰可辨）并加盖投标人公章，证书状态必须为“有效”，不提供不得分。（2）如投标人成立时间不足3个月（时间以投标人营业执照上的成立/注册日期至响应截止当天计算）导致未能获得认证证书的，提供声明函(格式自拟)，视为满足该项评分。</w:t>
            </w:r>
          </w:p>
        </w:tc>
      </w:tr>
      <w:tr>
        <w:tc>
          <w:tcPr>
            <w:tcW w:type="dxa" w:w="922"/>
            <w:gridSpan w:val="2"/>
            <w:vMerge/>
          </w:tcPr>
          <w:p/>
        </w:tc>
        <w:tc>
          <w:tcPr>
            <w:tcW w:type="dxa" w:w="2307"/>
          </w:tcPr>
          <w:p>
            <w:pPr>
              <w:pStyle w:val="null3"/>
              <w:jc w:val="left"/>
            </w:pPr>
            <w:r>
              <w:rPr/>
              <w:t>经验与业绩情况 (8.0分)</w:t>
            </w:r>
          </w:p>
        </w:tc>
        <w:tc>
          <w:tcPr>
            <w:tcW w:type="dxa" w:w="5076"/>
          </w:tcPr>
          <w:p>
            <w:pPr>
              <w:pStyle w:val="null3"/>
              <w:jc w:val="left"/>
            </w:pPr>
            <w:r>
              <w:rPr/>
              <w:t>投标人需提供2023年1月1日（合同落款时间为准）至今同类项目业绩进行评审，每提供一个得2分，最高为8分。（同类项目业绩为海洋观测类设备供货项目）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pStyle w:val="null3"/>
              <w:jc w:val="left"/>
            </w:pPr>
            <w:r>
              <w:rPr/>
              <w:t>服务团队 (4.0分)</w:t>
            </w:r>
          </w:p>
        </w:tc>
        <w:tc>
          <w:tcPr>
            <w:tcW w:type="dxa" w:w="5076"/>
          </w:tcPr>
          <w:p>
            <w:pPr>
              <w:pStyle w:val="null3"/>
              <w:jc w:val="left"/>
            </w:pPr>
            <w:r>
              <w:rPr/>
              <w:t>投标人为本项目投入的服务团队情况： （1）服务团队人员中具有海上作业安全培训合格证书的，每具有一个证书得1分，最高4分。 注：同一人员仅计算一次得分，需提供证书扫描件、人员清单（包括姓名、身份证号等信息）和投标文件提交截止日前近6个月任意一个月由投标人为服务团队人员购买的社保证明文件，并加盖投标人单位公章；人员在本单位任职的相关证明，并加盖投标人单位公章，未提供不得分。</w:t>
            </w:r>
          </w:p>
        </w:tc>
      </w:tr>
      <w:tr>
        <w:tc>
          <w:tcPr>
            <w:tcW w:type="dxa" w:w="922"/>
            <w:gridSpan w:val="2"/>
            <w:vMerge/>
          </w:tcPr>
          <w:p/>
        </w:tc>
        <w:tc>
          <w:tcPr>
            <w:tcW w:type="dxa" w:w="2307"/>
          </w:tcPr>
          <w:p>
            <w:pPr>
              <w:pStyle w:val="null3"/>
              <w:jc w:val="left"/>
            </w:pPr>
            <w:r>
              <w:rPr/>
              <w:t>自主知识产权产品（创新、设计）情况 (5.0分)</w:t>
            </w:r>
          </w:p>
        </w:tc>
        <w:tc>
          <w:tcPr>
            <w:tcW w:type="dxa" w:w="5076"/>
          </w:tcPr>
          <w:p>
            <w:pPr>
              <w:pStyle w:val="null3"/>
              <w:jc w:val="left"/>
            </w:pPr>
            <w:r>
              <w:rPr/>
              <w:t>投标人或其拟投入本项目的货物制造商具有自主知识产权情况： (1)投标人获得海洋观测相关领域发明专利的，每项得2分； (2)投标人获得海洋观测相关领域实用新型专利或软件著作权的，每项得1分。 注：本项累计最高得5分。投标人需提供有效的发明专利或实用新型专利或著作权登记证书扫描件并加盖投标人公章，不提供的不得分。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说明：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sz w:val="28"/>
          <w:b/>
        </w:rPr>
        <w:t>广东省政府采购</w:t>
      </w:r>
    </w:p>
    <w:p>
      <w:pPr>
        <w:pStyle w:val="null3"/>
        <w:spacing w:before="150" w:after="150"/>
        <w:jc w:val="both"/>
      </w:pPr>
      <w:r>
        <w:rPr/>
        <w:t xml:space="preserve"> </w:t>
      </w:r>
    </w:p>
    <w:p>
      <w:pPr>
        <w:pStyle w:val="null3"/>
        <w:ind w:firstLine="482"/>
        <w:jc w:val="left"/>
      </w:pPr>
      <w:r>
        <w:rPr>
          <w:sz w:val="21"/>
          <w:b/>
        </w:rPr>
        <w:t>采购计划编号：</w:t>
      </w:r>
      <w:r>
        <w:rPr>
          <w:b/>
          <w:u w:val="single"/>
        </w:rPr>
        <w:t xml:space="preserve">                        </w:t>
      </w:r>
    </w:p>
    <w:p>
      <w:pPr>
        <w:pStyle w:val="null3"/>
        <w:ind w:firstLine="482"/>
        <w:jc w:val="left"/>
      </w:pPr>
      <w:r>
        <w:rPr>
          <w:sz w:val="21"/>
          <w:b/>
        </w:rPr>
        <w:t>项目编号：</w:t>
      </w:r>
      <w:r>
        <w:rPr>
          <w:b/>
          <w:u w:val="single"/>
        </w:rPr>
        <w:t xml:space="preserve"> </w:t>
      </w:r>
      <w:r>
        <w:rPr>
          <w:sz w:val="21"/>
          <w:b/>
          <w:u w:val="single"/>
        </w:rPr>
        <w:t>3587-2612GDG30306</w:t>
      </w:r>
    </w:p>
    <w:p>
      <w:pPr>
        <w:pStyle w:val="null3"/>
        <w:ind w:firstLine="482"/>
        <w:jc w:val="left"/>
      </w:pPr>
      <w:r>
        <w:rPr>
          <w:sz w:val="21"/>
          <w:b/>
        </w:rPr>
        <w:t>项目名称：</w:t>
      </w:r>
      <w:r>
        <w:rPr>
          <w:sz w:val="21"/>
          <w:b/>
          <w:u w:val="single"/>
        </w:rPr>
        <w:t>2026年省级海洋生态综合在线监测站点建设</w:t>
      </w:r>
    </w:p>
    <w:p>
      <w:pPr>
        <w:pStyle w:val="null3"/>
        <w:ind w:firstLine="422"/>
        <w:jc w:val="both"/>
      </w:pPr>
      <w:r>
        <w:rPr/>
        <w:t xml:space="preserve"> </w:t>
      </w:r>
    </w:p>
    <w:p>
      <w:pPr>
        <w:pStyle w:val="null3"/>
        <w:spacing w:after="120"/>
        <w:ind w:firstLine="420"/>
        <w:jc w:val="both"/>
      </w:pPr>
      <w:r>
        <w:rPr>
          <w:sz w:val="21"/>
        </w:rPr>
        <w:t>注：以下合同仅供参考，具体内容以双方按照采购文件、响应文件及相关法律政策规定所签订的合同为准。</w:t>
      </w:r>
    </w:p>
    <w:p>
      <w:pPr>
        <w:pStyle w:val="null3"/>
        <w:jc w:val="both"/>
      </w:pPr>
      <w:r>
        <w:rPr/>
        <w:t xml:space="preserve"> </w:t>
      </w:r>
    </w:p>
    <w:p>
      <w:pPr>
        <w:pStyle w:val="null3"/>
        <w:ind w:firstLine="420"/>
        <w:jc w:val="both"/>
      </w:pPr>
      <w:r>
        <w:rPr>
          <w:sz w:val="21"/>
        </w:rPr>
        <w:t>甲方：</w:t>
      </w:r>
    </w:p>
    <w:p>
      <w:pPr>
        <w:pStyle w:val="null3"/>
        <w:ind w:firstLine="420"/>
        <w:jc w:val="both"/>
      </w:pPr>
      <w:r>
        <w:rPr>
          <w:sz w:val="21"/>
        </w:rPr>
        <w:t>电话：</w:t>
      </w:r>
      <w:r>
        <w:rPr>
          <w:sz w:val="21"/>
        </w:rPr>
        <w:t xml:space="preserve">                   </w:t>
      </w:r>
      <w:r>
        <w:rPr>
          <w:sz w:val="21"/>
        </w:rPr>
        <w:t>地址：</w:t>
      </w:r>
    </w:p>
    <w:p>
      <w:pPr>
        <w:pStyle w:val="null3"/>
        <w:ind w:firstLine="480"/>
        <w:jc w:val="both"/>
      </w:pPr>
      <w:r>
        <w:rPr>
          <w:sz w:val="21"/>
        </w:rPr>
        <w:t>乙方：</w:t>
      </w:r>
    </w:p>
    <w:p>
      <w:pPr>
        <w:pStyle w:val="null3"/>
        <w:ind w:firstLine="420"/>
        <w:jc w:val="both"/>
      </w:pPr>
      <w:r>
        <w:rPr>
          <w:sz w:val="21"/>
        </w:rPr>
        <w:t>电话：</w:t>
      </w:r>
      <w:r>
        <w:rPr>
          <w:sz w:val="21"/>
        </w:rPr>
        <w:t xml:space="preserve">                   </w:t>
      </w:r>
      <w:r>
        <w:rPr>
          <w:sz w:val="21"/>
        </w:rPr>
        <w:t>地址：</w:t>
      </w:r>
    </w:p>
    <w:p>
      <w:pPr>
        <w:pStyle w:val="null3"/>
        <w:spacing w:after="120"/>
        <w:ind w:firstLine="420"/>
        <w:jc w:val="both"/>
      </w:pPr>
      <w:r>
        <w:rPr>
          <w:sz w:val="21"/>
        </w:rPr>
        <w:t>纳税人识别号：</w:t>
      </w:r>
    </w:p>
    <w:p>
      <w:pPr>
        <w:pStyle w:val="null3"/>
        <w:spacing w:after="120"/>
        <w:ind w:firstLine="420"/>
        <w:jc w:val="both"/>
      </w:pPr>
      <w:r>
        <w:rPr>
          <w:sz w:val="21"/>
        </w:rPr>
        <w:t>开户名称：</w:t>
      </w:r>
    </w:p>
    <w:p>
      <w:pPr>
        <w:pStyle w:val="null3"/>
        <w:spacing w:after="120"/>
        <w:ind w:firstLine="420"/>
        <w:jc w:val="both"/>
      </w:pPr>
      <w:r>
        <w:rPr>
          <w:sz w:val="21"/>
        </w:rPr>
        <w:t>银行账号：</w:t>
      </w:r>
    </w:p>
    <w:p>
      <w:pPr>
        <w:pStyle w:val="null3"/>
        <w:spacing w:after="120"/>
        <w:ind w:firstLine="420"/>
        <w:jc w:val="both"/>
      </w:pPr>
      <w:r>
        <w:rPr>
          <w:sz w:val="21"/>
        </w:rPr>
        <w:t>开户行：</w:t>
      </w:r>
    </w:p>
    <w:p>
      <w:pPr>
        <w:pStyle w:val="null3"/>
        <w:ind w:firstLine="420"/>
        <w:jc w:val="both"/>
      </w:pPr>
      <w:r>
        <w:rPr>
          <w:sz w:val="21"/>
        </w:rPr>
        <w:t>根据项目</w:t>
      </w:r>
      <w:r>
        <w:rPr>
          <w:u w:val="single"/>
        </w:rPr>
        <w:t xml:space="preserve">        </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ind w:firstLine="420"/>
        <w:jc w:val="both"/>
      </w:pPr>
      <w:r>
        <w:rPr>
          <w:sz w:val="21"/>
        </w:rPr>
        <w:t>一、采购内容</w:t>
      </w:r>
    </w:p>
    <w:tbl>
      <w:tblPr>
        <w:tblW w:w="0" w:type="auto"/>
        <w:tblBorders>
          <w:top w:val="none" w:color="000000" w:sz="4"/>
          <w:left w:val="none" w:color="000000" w:sz="4"/>
          <w:bottom w:val="none" w:color="000000" w:sz="4"/>
          <w:right w:val="none" w:color="000000" w:sz="4"/>
          <w:insideH w:val="none"/>
          <w:insideV w:val="none"/>
        </w:tblBorders>
      </w:tblPr>
      <w:tblGrid>
        <w:gridCol w:w="5745"/>
        <w:gridCol w:w="1209"/>
        <w:gridCol w:w="1349"/>
      </w:tblGrid>
      <w:tr>
        <w:tc>
          <w:tcPr>
            <w:tcW w:type="dxa" w:w="5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明细</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海洋生态综合在线监测站点</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数据接收软件</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both"/>
      </w:pPr>
      <w:r>
        <w:rPr>
          <w:sz w:val="21"/>
        </w:rPr>
        <w:t xml:space="preserve">    </w:t>
      </w:r>
      <w:r>
        <w:rPr>
          <w:sz w:val="21"/>
        </w:rPr>
        <w:t>合同总额包括但不限于货物费用、运输费、装卸费、安装调试费、拆装、修复费、零配件费、人工费、管理费、各项税费、利润及合同实施过程中不可预见费用等。</w:t>
      </w:r>
    </w:p>
    <w:p>
      <w:pPr>
        <w:pStyle w:val="null3"/>
        <w:ind w:firstLine="420"/>
        <w:jc w:val="both"/>
      </w:pPr>
      <w:r>
        <w:rPr>
          <w:sz w:val="21"/>
        </w:rPr>
        <w:t>按照本项目招标文件需求以及乙方投标文件响应情况执行。</w:t>
      </w:r>
    </w:p>
    <w:p>
      <w:pPr>
        <w:pStyle w:val="null3"/>
        <w:ind w:firstLine="420"/>
        <w:jc w:val="both"/>
      </w:pPr>
      <w:r>
        <w:rPr>
          <w:sz w:val="21"/>
        </w:rPr>
        <w:t>注：货物名称内容必须与投标文件中货物名称内容一致，货物质量应符合招标文件中对货物的技术要求。</w:t>
      </w:r>
    </w:p>
    <w:p>
      <w:pPr>
        <w:pStyle w:val="null3"/>
        <w:ind w:firstLine="420"/>
        <w:jc w:val="both"/>
      </w:pPr>
      <w:r>
        <w:rPr>
          <w:sz w:val="21"/>
        </w:rPr>
        <w:t>二、合同金额</w:t>
      </w:r>
    </w:p>
    <w:p>
      <w:pPr>
        <w:pStyle w:val="null3"/>
        <w:spacing w:after="120"/>
        <w:jc w:val="both"/>
      </w:pPr>
      <w:r>
        <w:rPr>
          <w:sz w:val="21"/>
        </w:rPr>
        <w:t xml:space="preserve">    </w:t>
      </w:r>
      <w:r>
        <w:rPr>
          <w:sz w:val="21"/>
        </w:rPr>
        <w:t>合同金额为</w:t>
      </w:r>
      <w:r>
        <w:rPr>
          <w:sz w:val="21"/>
        </w:rPr>
        <w:t>(大写):</w:t>
      </w:r>
      <w:r>
        <w:rPr>
          <w:u w:val="single"/>
        </w:rPr>
        <w:t xml:space="preserve">           </w:t>
      </w:r>
      <w:r>
        <w:rPr>
          <w:sz w:val="21"/>
        </w:rPr>
        <w:t>整</w:t>
      </w:r>
      <w:r>
        <w:rPr>
          <w:sz w:val="21"/>
        </w:rPr>
        <w:t>(¥</w:t>
      </w:r>
      <w:r>
        <w:rPr>
          <w:u w:val="single"/>
        </w:rPr>
        <w:t xml:space="preserve">          </w:t>
      </w:r>
      <w:r>
        <w:rPr>
          <w:sz w:val="21"/>
        </w:rPr>
        <w:t>)人民币。</w:t>
      </w:r>
    </w:p>
    <w:p>
      <w:pPr>
        <w:pStyle w:val="null3"/>
        <w:ind w:firstLine="420"/>
        <w:jc w:val="both"/>
      </w:pPr>
      <w:r>
        <w:rPr>
          <w:sz w:val="21"/>
        </w:rPr>
        <w:t>三、设备要求</w:t>
      </w:r>
    </w:p>
    <w:p>
      <w:pPr>
        <w:pStyle w:val="null3"/>
        <w:ind w:firstLine="420"/>
        <w:jc w:val="both"/>
      </w:pPr>
      <w:r>
        <w:rPr>
          <w:sz w:val="21"/>
        </w:rPr>
        <w:t>1.货物为原制造商制造的全新产品，整机无污染，无侵权行为、表面无划损、无任何缺陷隐患（包括但不限于设计、材料或工艺上的缺陷，或者因乙方的行为或疏忽而产生的缺陷），在中国境内可依常规安全合法使用。</w:t>
      </w:r>
    </w:p>
    <w:p>
      <w:pPr>
        <w:pStyle w:val="null3"/>
        <w:ind w:firstLine="420"/>
        <w:jc w:val="both"/>
      </w:pPr>
      <w:r>
        <w:rPr>
          <w:sz w:val="21"/>
        </w:rPr>
        <w:t>2.进口产品必须具备原产地证明和商检局的检验证明及合法进货渠道证明。</w:t>
      </w:r>
    </w:p>
    <w:p>
      <w:pPr>
        <w:pStyle w:val="null3"/>
        <w:ind w:firstLine="420"/>
        <w:jc w:val="both"/>
      </w:pPr>
      <w:r>
        <w:rPr>
          <w:sz w:val="21"/>
        </w:rPr>
        <w:t>3.货物为原厂商未启封全新包装，具出厂合格证，序列号、包装箱号与出厂批号一致，并可追索查阅。</w:t>
      </w:r>
    </w:p>
    <w:p>
      <w:pPr>
        <w:pStyle w:val="null3"/>
        <w:ind w:firstLine="420"/>
        <w:jc w:val="both"/>
      </w:pPr>
      <w:r>
        <w:rPr>
          <w:sz w:val="21"/>
        </w:rPr>
        <w:t>4.乙方应将关键主机设备的用户手册、保修手册、有关单证资料及配备件、随机工具等交付给甲方，使用操作及安</w:t>
      </w:r>
      <w:r>
        <w:rPr>
          <w:sz w:val="21"/>
        </w:rPr>
        <w:t>全须知等重要资料应附有中文说明。</w:t>
      </w:r>
    </w:p>
    <w:p>
      <w:pPr>
        <w:pStyle w:val="null3"/>
        <w:ind w:firstLine="420"/>
        <w:jc w:val="both"/>
      </w:pPr>
      <w:r>
        <w:rPr>
          <w:sz w:val="21"/>
        </w:rPr>
        <w:t>四、交货期、交货方式及交货地点</w:t>
      </w:r>
    </w:p>
    <w:p>
      <w:pPr>
        <w:pStyle w:val="null3"/>
        <w:ind w:firstLine="420"/>
        <w:jc w:val="both"/>
      </w:pPr>
      <w:r>
        <w:rPr>
          <w:sz w:val="21"/>
        </w:rPr>
        <w:t>1.合同履行期限：本项目需在 2026 年 7 月 31 日前完成项目初步验收评审，在 2026 年 12 月 31 日前完成终期验收评审，并按财政资金项目资料归档有关规定汇交成果报告等资料。</w:t>
      </w:r>
    </w:p>
    <w:p>
      <w:pPr>
        <w:pStyle w:val="null3"/>
        <w:ind w:firstLine="420"/>
        <w:jc w:val="both"/>
      </w:pPr>
      <w:r>
        <w:rPr>
          <w:sz w:val="21"/>
        </w:rPr>
        <w:t>2.交货方式和地点：由乙方送货至甲方指定地点。</w:t>
      </w:r>
    </w:p>
    <w:p>
      <w:pPr>
        <w:pStyle w:val="null3"/>
        <w:ind w:firstLine="420"/>
        <w:jc w:val="both"/>
      </w:pPr>
      <w:r>
        <w:rPr>
          <w:sz w:val="21"/>
        </w:rPr>
        <w:t>五、付款方式：</w:t>
      </w:r>
    </w:p>
    <w:p>
      <w:pPr>
        <w:pStyle w:val="null3"/>
        <w:ind w:firstLine="420"/>
        <w:jc w:val="both"/>
      </w:pPr>
      <w:r>
        <w:rPr>
          <w:sz w:val="21"/>
        </w:rPr>
        <w:t>由甲方分</w:t>
      </w:r>
      <w:r>
        <w:rPr>
          <w:u w:val="single"/>
        </w:rPr>
        <w:t xml:space="preserve"> </w:t>
      </w:r>
      <w:r>
        <w:rPr>
          <w:sz w:val="21"/>
          <w:u w:val="single"/>
        </w:rPr>
        <w:t>4</w:t>
      </w:r>
      <w:r>
        <w:rPr>
          <w:u w:val="single"/>
        </w:rPr>
        <w:t xml:space="preserve"> </w:t>
      </w:r>
      <w:r>
        <w:rPr>
          <w:sz w:val="21"/>
        </w:rPr>
        <w:t>期支付乙方，支付方式为</w:t>
      </w:r>
      <w:r>
        <w:rPr>
          <w:sz w:val="21"/>
          <w:u w:val="single"/>
        </w:rPr>
        <w:t>银行转账</w:t>
      </w:r>
      <w:r>
        <w:rPr>
          <w:sz w:val="21"/>
        </w:rPr>
        <w:t>。具体支付方式如下：</w:t>
      </w:r>
    </w:p>
    <w:p>
      <w:pPr>
        <w:pStyle w:val="null3"/>
        <w:ind w:firstLine="420"/>
        <w:jc w:val="both"/>
      </w:pPr>
      <w:r>
        <w:rPr>
          <w:sz w:val="21"/>
        </w:rPr>
        <w:t>1.第1期：支付比例30%,合同签订后5个工作日内，</w:t>
      </w:r>
      <w:r>
        <w:rPr>
          <w:sz w:val="21"/>
        </w:rPr>
        <w:t>甲方</w:t>
      </w:r>
      <w:r>
        <w:rPr>
          <w:sz w:val="21"/>
        </w:rPr>
        <w:t>向</w:t>
      </w:r>
      <w:r>
        <w:rPr>
          <w:sz w:val="21"/>
        </w:rPr>
        <w:t>乙方</w:t>
      </w:r>
      <w:r>
        <w:rPr>
          <w:sz w:val="21"/>
        </w:rPr>
        <w:t>支付合同总额的</w:t>
      </w:r>
      <w:r>
        <w:rPr>
          <w:sz w:val="21"/>
        </w:rPr>
        <w:t>30%；。</w:t>
      </w:r>
    </w:p>
    <w:p>
      <w:pPr>
        <w:pStyle w:val="null3"/>
        <w:ind w:firstLine="420"/>
        <w:jc w:val="both"/>
      </w:pPr>
      <w:r>
        <w:rPr>
          <w:sz w:val="21"/>
        </w:rPr>
        <w:t>2期：支付比例30%,</w:t>
      </w:r>
      <w:r>
        <w:rPr>
          <w:sz w:val="21"/>
        </w:rPr>
        <w:t>乙方</w:t>
      </w:r>
      <w:r>
        <w:rPr>
          <w:sz w:val="21"/>
        </w:rPr>
        <w:t>编制完设计书并完成设计评审后，</w:t>
      </w:r>
      <w:r>
        <w:rPr>
          <w:sz w:val="21"/>
        </w:rPr>
        <w:t>甲方</w:t>
      </w:r>
      <w:r>
        <w:rPr>
          <w:sz w:val="21"/>
        </w:rPr>
        <w:t>向</w:t>
      </w:r>
      <w:r>
        <w:rPr>
          <w:sz w:val="21"/>
        </w:rPr>
        <w:t>乙方</w:t>
      </w:r>
      <w:r>
        <w:rPr>
          <w:sz w:val="21"/>
        </w:rPr>
        <w:t>支付合同总额的</w:t>
      </w:r>
      <w:r>
        <w:rPr>
          <w:sz w:val="21"/>
        </w:rPr>
        <w:t>30%。</w:t>
      </w:r>
    </w:p>
    <w:p>
      <w:pPr>
        <w:pStyle w:val="null3"/>
        <w:ind w:firstLine="420"/>
        <w:jc w:val="both"/>
      </w:pPr>
      <w:r>
        <w:rPr>
          <w:sz w:val="21"/>
        </w:rPr>
        <w:t>3期：支付比例35%,</w:t>
      </w:r>
      <w:r>
        <w:rPr>
          <w:sz w:val="21"/>
        </w:rPr>
        <w:t>乙方</w:t>
      </w:r>
      <w:r>
        <w:rPr>
          <w:sz w:val="21"/>
        </w:rPr>
        <w:t>提交初步验收报告并通过</w:t>
      </w:r>
      <w:r>
        <w:rPr>
          <w:sz w:val="21"/>
        </w:rPr>
        <w:t>由甲方组织的</w:t>
      </w:r>
      <w:r>
        <w:rPr>
          <w:sz w:val="21"/>
        </w:rPr>
        <w:t>专家评审后，</w:t>
      </w:r>
      <w:r>
        <w:rPr>
          <w:sz w:val="21"/>
        </w:rPr>
        <w:t>甲方</w:t>
      </w:r>
      <w:r>
        <w:rPr>
          <w:sz w:val="21"/>
        </w:rPr>
        <w:t>向</w:t>
      </w:r>
      <w:r>
        <w:rPr>
          <w:sz w:val="21"/>
        </w:rPr>
        <w:t>乙方</w:t>
      </w:r>
      <w:r>
        <w:rPr>
          <w:sz w:val="21"/>
        </w:rPr>
        <w:t>支付合同总额的</w:t>
      </w:r>
      <w:r>
        <w:rPr>
          <w:sz w:val="21"/>
        </w:rPr>
        <w:t>35%。</w:t>
      </w:r>
    </w:p>
    <w:p>
      <w:pPr>
        <w:pStyle w:val="null3"/>
        <w:ind w:firstLine="420"/>
        <w:jc w:val="both"/>
      </w:pPr>
      <w:r>
        <w:rPr>
          <w:sz w:val="21"/>
        </w:rPr>
        <w:t>4期：支付比例5%,</w:t>
      </w:r>
      <w:r>
        <w:rPr>
          <w:sz w:val="21"/>
        </w:rPr>
        <w:t>乙方</w:t>
      </w:r>
      <w:r>
        <w:rPr>
          <w:sz w:val="21"/>
        </w:rPr>
        <w:t>提交终期验收报告并</w:t>
      </w:r>
      <w:r>
        <w:rPr>
          <w:sz w:val="21"/>
        </w:rPr>
        <w:t>通过</w:t>
      </w:r>
      <w:r>
        <w:rPr>
          <w:sz w:val="21"/>
        </w:rPr>
        <w:t>由甲方组织的</w:t>
      </w:r>
      <w:r>
        <w:rPr>
          <w:sz w:val="21"/>
        </w:rPr>
        <w:t>专家</w:t>
      </w:r>
      <w:r>
        <w:rPr>
          <w:sz w:val="21"/>
        </w:rPr>
        <w:t>评审且按财政资金项目资料归档有关规定汇交成果报告后，</w:t>
      </w:r>
      <w:r>
        <w:rPr>
          <w:sz w:val="21"/>
        </w:rPr>
        <w:t>甲方</w:t>
      </w:r>
      <w:r>
        <w:rPr>
          <w:sz w:val="21"/>
        </w:rPr>
        <w:t>支付合同总额的</w:t>
      </w:r>
      <w:r>
        <w:rPr>
          <w:sz w:val="21"/>
        </w:rPr>
        <w:t>5%。</w:t>
      </w:r>
    </w:p>
    <w:p>
      <w:pPr>
        <w:pStyle w:val="null3"/>
        <w:ind w:firstLine="420"/>
        <w:jc w:val="both"/>
      </w:pPr>
      <w:r>
        <w:rPr>
          <w:sz w:val="21"/>
        </w:rPr>
        <w:t>因</w:t>
      </w:r>
      <w:r>
        <w:rPr>
          <w:sz w:val="21"/>
        </w:rPr>
        <w:t>甲方</w:t>
      </w:r>
      <w:r>
        <w:rPr>
          <w:sz w:val="21"/>
        </w:rPr>
        <w:t>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w:t>
      </w:r>
      <w:r>
        <w:rPr>
          <w:sz w:val="21"/>
        </w:rPr>
        <w:t>甲方</w:t>
      </w:r>
      <w:r>
        <w:rPr>
          <w:sz w:val="21"/>
        </w:rPr>
        <w:t>已经按期支付。</w:t>
      </w:r>
    </w:p>
    <w:p>
      <w:pPr>
        <w:pStyle w:val="null3"/>
        <w:ind w:firstLine="420"/>
        <w:jc w:val="both"/>
      </w:pPr>
      <w:r>
        <w:rPr>
          <w:sz w:val="21"/>
        </w:rPr>
        <w:t>乙方</w:t>
      </w:r>
      <w:r>
        <w:rPr>
          <w:sz w:val="21"/>
        </w:rPr>
        <w:t>凭以下有效文件与</w:t>
      </w:r>
      <w:r>
        <w:rPr>
          <w:sz w:val="21"/>
        </w:rPr>
        <w:t>甲方</w:t>
      </w:r>
      <w:r>
        <w:rPr>
          <w:sz w:val="21"/>
        </w:rPr>
        <w:t>结算：</w:t>
      </w:r>
    </w:p>
    <w:p>
      <w:pPr>
        <w:pStyle w:val="null3"/>
        <w:ind w:firstLine="420"/>
        <w:jc w:val="both"/>
      </w:pPr>
      <w:r>
        <w:rPr>
          <w:sz w:val="21"/>
        </w:rPr>
        <w:t>（</w:t>
      </w:r>
      <w:r>
        <w:rPr>
          <w:sz w:val="21"/>
        </w:rPr>
        <w:t>1）合同；</w:t>
      </w:r>
    </w:p>
    <w:p>
      <w:pPr>
        <w:pStyle w:val="null3"/>
        <w:ind w:firstLine="420"/>
        <w:jc w:val="both"/>
      </w:pPr>
      <w:r>
        <w:rPr>
          <w:sz w:val="21"/>
        </w:rPr>
        <w:t>（</w:t>
      </w:r>
      <w:r>
        <w:rPr>
          <w:sz w:val="21"/>
        </w:rPr>
        <w:t>2）</w:t>
      </w:r>
      <w:r>
        <w:rPr>
          <w:sz w:val="21"/>
        </w:rPr>
        <w:t>乙方</w:t>
      </w:r>
      <w:r>
        <w:rPr>
          <w:sz w:val="21"/>
        </w:rPr>
        <w:t>开具的正式完税发票；</w:t>
      </w:r>
    </w:p>
    <w:p>
      <w:pPr>
        <w:pStyle w:val="null3"/>
        <w:ind w:firstLine="420"/>
        <w:jc w:val="both"/>
      </w:pPr>
      <w:r>
        <w:rPr>
          <w:sz w:val="21"/>
        </w:rPr>
        <w:t>（</w:t>
      </w:r>
      <w:r>
        <w:rPr>
          <w:sz w:val="21"/>
        </w:rPr>
        <w:t>3）验收/成果报告和专家评审意见；</w:t>
      </w:r>
    </w:p>
    <w:p>
      <w:pPr>
        <w:pStyle w:val="null3"/>
        <w:ind w:firstLine="420"/>
        <w:jc w:val="both"/>
      </w:pPr>
      <w:r>
        <w:rPr>
          <w:sz w:val="21"/>
        </w:rPr>
        <w:t>（</w:t>
      </w:r>
      <w:r>
        <w:rPr>
          <w:sz w:val="21"/>
        </w:rPr>
        <w:t>4）中标通知书。</w:t>
      </w:r>
    </w:p>
    <w:p>
      <w:pPr>
        <w:pStyle w:val="null3"/>
        <w:ind w:firstLine="420"/>
        <w:jc w:val="both"/>
      </w:pPr>
      <w:r>
        <w:rPr>
          <w:sz w:val="21"/>
        </w:rPr>
        <w:t>六、设备更换和数据要求</w:t>
      </w:r>
    </w:p>
    <w:p>
      <w:pPr>
        <w:pStyle w:val="null3"/>
        <w:ind w:firstLine="420"/>
        <w:jc w:val="both"/>
      </w:pPr>
      <w:r>
        <w:rPr>
          <w:sz w:val="21"/>
        </w:rPr>
        <w:t>1.在质量保证期限内，因设备非人为损坏导致设备更换的，所更换设备的质量保证期限与原设备质量保证期限要求相同，由于设备本身原因所导致的设备更换所产生的一切费用由乙方负责，甲方不承担。</w:t>
      </w:r>
    </w:p>
    <w:p>
      <w:pPr>
        <w:pStyle w:val="null3"/>
        <w:ind w:firstLine="420"/>
        <w:jc w:val="both"/>
      </w:pPr>
      <w:r>
        <w:rPr>
          <w:sz w:val="21"/>
        </w:rPr>
        <w:t>2.针对本项目采购设备的特点，为防止产生因设备非人为损坏带来调查数据丢失问题，乙方的数据存储卡必须具备备份功能，更换数据采集系统后，能数据还原。</w:t>
      </w:r>
    </w:p>
    <w:p>
      <w:pPr>
        <w:pStyle w:val="null3"/>
        <w:ind w:firstLine="420"/>
        <w:jc w:val="both"/>
      </w:pPr>
      <w:r>
        <w:rPr>
          <w:sz w:val="21"/>
        </w:rPr>
        <w:t>七、安装、调试与验收</w:t>
      </w:r>
    </w:p>
    <w:p>
      <w:pPr>
        <w:pStyle w:val="null3"/>
        <w:ind w:firstLine="420"/>
        <w:jc w:val="both"/>
      </w:pPr>
      <w:r>
        <w:rPr>
          <w:sz w:val="21"/>
        </w:rPr>
        <w:t>1.乙方必须依照需求文件的要求，将设备安装并调试至正常运行的状态，试运行</w:t>
      </w:r>
      <w:r>
        <w:rPr>
          <w:sz w:val="21"/>
        </w:rPr>
        <w:t>不少于三</w:t>
      </w:r>
      <w:r>
        <w:rPr>
          <w:sz w:val="21"/>
        </w:rPr>
        <w:t>个月</w:t>
      </w:r>
      <w:r>
        <w:rPr>
          <w:sz w:val="21"/>
        </w:rPr>
        <w:t>，</w:t>
      </w:r>
      <w:r>
        <w:rPr>
          <w:sz w:val="21"/>
        </w:rPr>
        <w:t>试运行期间数据站点数据接收率不低于</w:t>
      </w:r>
      <w:r>
        <w:rPr>
          <w:sz w:val="21"/>
        </w:rPr>
        <w:t>90%</w:t>
      </w:r>
      <w:r>
        <w:rPr>
          <w:sz w:val="21"/>
        </w:rPr>
        <w:t>。</w:t>
      </w:r>
    </w:p>
    <w:p>
      <w:pPr>
        <w:pStyle w:val="null3"/>
        <w:ind w:firstLine="420"/>
        <w:jc w:val="both"/>
      </w:pPr>
      <w:r>
        <w:rPr>
          <w:sz w:val="21"/>
        </w:rPr>
        <w:t>2.乙方应对提供的货物作出全面自查和整理，并列出清单，作为甲方验收和使用的技术条件依据，清单应随提供的验收资料交给甲方。</w:t>
      </w:r>
    </w:p>
    <w:p>
      <w:pPr>
        <w:pStyle w:val="null3"/>
        <w:ind w:firstLine="420"/>
        <w:jc w:val="both"/>
      </w:pPr>
      <w:r>
        <w:rPr>
          <w:sz w:val="21"/>
        </w:rPr>
        <w:t>3.乙方提供的货物应包括本合同“第一条采购内容”规定的全部货物及其附（辅）件、资料。</w:t>
      </w:r>
    </w:p>
    <w:p>
      <w:pPr>
        <w:pStyle w:val="null3"/>
        <w:ind w:firstLine="420"/>
        <w:jc w:val="both"/>
      </w:pPr>
      <w:r>
        <w:rPr>
          <w:sz w:val="21"/>
        </w:rPr>
        <w:t>4.甲方应当在到货后的约定时间内对货物进行签收。货物签收时甲方和乙方两方必须同时在场，两方共同确认货物与本合同规定的数量、质量、技术参数和性能等是否一致。乙方所交付的货物不符合合同规定的，甲方有权拒收。乙方应及时按本合同规定和甲方要求免费对拒收货物采取更换或其他必要的补救措施，直至合格，方视为乙方按本合同规定完成交货。货物合格的，由两方共同签署货物签收有关材料。</w:t>
      </w:r>
    </w:p>
    <w:p>
      <w:pPr>
        <w:pStyle w:val="null3"/>
        <w:ind w:firstLine="420"/>
        <w:jc w:val="both"/>
      </w:pPr>
      <w:r>
        <w:rPr>
          <w:sz w:val="21"/>
        </w:rPr>
        <w:t>5.货物为原厂商未启封全新包装，具出厂合格证，序列号、包装箱号与出厂批号一致，并可追索查阅。所有随设备的附件必须齐全。</w:t>
      </w:r>
    </w:p>
    <w:p>
      <w:pPr>
        <w:pStyle w:val="null3"/>
        <w:ind w:firstLine="420"/>
        <w:jc w:val="both"/>
      </w:pPr>
      <w:r>
        <w:rPr>
          <w:sz w:val="21"/>
        </w:rPr>
        <w:t>6.乙方应将设备的用户手册、保修手册、有关单证资料及配备件、随机工具等交付给甲方，使用操作及安全须知等重要资料应附有中文说明。</w:t>
      </w:r>
    </w:p>
    <w:p>
      <w:pPr>
        <w:pStyle w:val="null3"/>
        <w:ind w:firstLine="420"/>
        <w:jc w:val="both"/>
      </w:pPr>
      <w:r>
        <w:rPr>
          <w:sz w:val="21"/>
        </w:rPr>
        <w:t>7.货物验收由甲方组织专家进行验收，验收内容包括：货物包装是否完好，型号、规格、数量、外观质量、配置、内在质量，以及调试运行是否达到“第一条采购内容”规定的效果。</w:t>
      </w:r>
    </w:p>
    <w:p>
      <w:pPr>
        <w:pStyle w:val="null3"/>
        <w:ind w:firstLine="420"/>
        <w:jc w:val="both"/>
      </w:pPr>
      <w:r>
        <w:rPr>
          <w:sz w:val="21"/>
        </w:rPr>
        <w:t>8.最终交付的实物(品牌、规格型号、参数等指标)以甲方和乙方双方签署的货物清单为准。</w:t>
      </w:r>
    </w:p>
    <w:p>
      <w:pPr>
        <w:pStyle w:val="null3"/>
        <w:ind w:firstLine="420"/>
        <w:jc w:val="both"/>
      </w:pPr>
      <w:r>
        <w:rPr>
          <w:sz w:val="21"/>
        </w:rPr>
        <w:t>八、包装、运送和保管要求</w:t>
      </w:r>
    </w:p>
    <w:p>
      <w:pPr>
        <w:pStyle w:val="null3"/>
        <w:ind w:firstLine="420"/>
        <w:jc w:val="both"/>
      </w:pPr>
      <w:r>
        <w:rPr>
          <w:sz w:val="21"/>
        </w:rPr>
        <w:t>1.设备材料的包装必须是制造商原厂包装，其包装均应有良好的防湿、防锈、防潮、防雨、防腐及防碰撞的措施。凡由于包装不良造成的损失和由此产生的费用均由乙方承担。</w:t>
      </w:r>
    </w:p>
    <w:p>
      <w:pPr>
        <w:pStyle w:val="null3"/>
        <w:ind w:firstLine="420"/>
        <w:jc w:val="both"/>
      </w:pPr>
      <w:r>
        <w:rPr>
          <w:sz w:val="21"/>
        </w:rPr>
        <w:t>2.乙方负责将设备材料货到现场过程中的全部运输，包括装卸车、货物现场的搬运。</w:t>
      </w:r>
    </w:p>
    <w:p>
      <w:pPr>
        <w:pStyle w:val="null3"/>
        <w:ind w:firstLine="420"/>
        <w:jc w:val="both"/>
      </w:pPr>
      <w:r>
        <w:rPr>
          <w:sz w:val="21"/>
        </w:rPr>
        <w:t>3.货物的现场保管由乙方负责，直至项目安装、验收完毕。</w:t>
      </w:r>
    </w:p>
    <w:p>
      <w:pPr>
        <w:pStyle w:val="null3"/>
        <w:ind w:firstLine="420"/>
        <w:jc w:val="both"/>
      </w:pPr>
      <w:r>
        <w:rPr>
          <w:sz w:val="21"/>
        </w:rPr>
        <w:t>4.货物在系统安装调试验收合格前，以及质保维护过程中的保险由乙方负责，乙方负责其派</w:t>
      </w:r>
      <w:r>
        <w:rPr>
          <w:sz w:val="21"/>
        </w:rPr>
        <w:t>出的现场服务人员人身意外保险。</w:t>
      </w:r>
    </w:p>
    <w:p>
      <w:pPr>
        <w:pStyle w:val="null3"/>
        <w:ind w:firstLine="420"/>
        <w:jc w:val="both"/>
      </w:pPr>
      <w:r>
        <w:rPr>
          <w:sz w:val="21"/>
        </w:rPr>
        <w:t>九、数据要求</w:t>
      </w:r>
    </w:p>
    <w:p>
      <w:pPr>
        <w:pStyle w:val="null3"/>
        <w:ind w:firstLine="420"/>
        <w:jc w:val="both"/>
      </w:pPr>
      <w:r>
        <w:rPr>
          <w:sz w:val="21"/>
        </w:rPr>
        <w:t>1.数据要求：乙方必须保证监测数据采集、传输、接收正常。乙方不得私自留存监测数据。</w:t>
      </w:r>
    </w:p>
    <w:p>
      <w:pPr>
        <w:pStyle w:val="null3"/>
        <w:ind w:firstLine="420"/>
        <w:jc w:val="both"/>
      </w:pPr>
      <w:r>
        <w:rPr>
          <w:sz w:val="21"/>
        </w:rPr>
        <w:t>十、预期成果要求</w:t>
      </w:r>
    </w:p>
    <w:p>
      <w:pPr>
        <w:pStyle w:val="null3"/>
        <w:ind w:firstLine="420"/>
        <w:jc w:val="both"/>
      </w:pPr>
      <w:r>
        <w:rPr>
          <w:sz w:val="21"/>
        </w:rPr>
        <w:t>1</w:t>
      </w:r>
      <w:r>
        <w:rPr>
          <w:sz w:val="21"/>
        </w:rPr>
        <w:t xml:space="preserve">. </w:t>
      </w:r>
      <w:r>
        <w:rPr>
          <w:sz w:val="21"/>
        </w:rPr>
        <w:t>2026年省级海洋生态综合在线监测站点建设设计书；</w:t>
      </w:r>
    </w:p>
    <w:p>
      <w:pPr>
        <w:pStyle w:val="null3"/>
        <w:ind w:firstLine="420"/>
        <w:jc w:val="both"/>
      </w:pPr>
      <w:r>
        <w:rPr>
          <w:sz w:val="21"/>
        </w:rPr>
        <w:t>2</w:t>
      </w:r>
      <w:r>
        <w:rPr>
          <w:sz w:val="21"/>
        </w:rPr>
        <w:t xml:space="preserve">. </w:t>
      </w:r>
      <w:r>
        <w:rPr>
          <w:sz w:val="21"/>
        </w:rPr>
        <w:t>2026年省级海洋生态综合在线监测站点建设初步验收报告和终期验收报告；</w:t>
      </w:r>
    </w:p>
    <w:p>
      <w:pPr>
        <w:pStyle w:val="null3"/>
        <w:ind w:firstLine="420"/>
        <w:jc w:val="both"/>
      </w:pPr>
      <w:r>
        <w:rPr>
          <w:sz w:val="21"/>
        </w:rPr>
        <w:t>3</w:t>
      </w:r>
      <w:r>
        <w:rPr>
          <w:sz w:val="21"/>
        </w:rPr>
        <w:t xml:space="preserve">. </w:t>
      </w:r>
      <w:r>
        <w:rPr>
          <w:sz w:val="21"/>
        </w:rPr>
        <w:t>2026年省级海洋生态综合在线监测站点建设工作报告；</w:t>
      </w:r>
    </w:p>
    <w:p>
      <w:pPr>
        <w:pStyle w:val="null3"/>
        <w:ind w:firstLine="420"/>
        <w:jc w:val="both"/>
      </w:pPr>
      <w:r>
        <w:rPr>
          <w:sz w:val="21"/>
        </w:rPr>
        <w:t>4</w:t>
      </w:r>
      <w:r>
        <w:rPr>
          <w:sz w:val="21"/>
        </w:rPr>
        <w:t xml:space="preserve">. </w:t>
      </w:r>
      <w:r>
        <w:rPr>
          <w:sz w:val="21"/>
        </w:rPr>
        <w:t>2026年省级海洋生态综合在线监测站点试运行记录、试运行报告；</w:t>
      </w:r>
    </w:p>
    <w:p>
      <w:pPr>
        <w:pStyle w:val="null3"/>
        <w:ind w:firstLine="420"/>
        <w:jc w:val="both"/>
      </w:pPr>
      <w:r>
        <w:rPr>
          <w:sz w:val="21"/>
        </w:rPr>
        <w:t>5</w:t>
      </w:r>
      <w:r>
        <w:rPr>
          <w:sz w:val="21"/>
        </w:rPr>
        <w:t xml:space="preserve">. </w:t>
      </w:r>
      <w:r>
        <w:rPr>
          <w:sz w:val="21"/>
        </w:rPr>
        <w:t>质保期承诺函、开箱检验记录表、相关软件用户手册等其他相关文档材料。</w:t>
      </w:r>
    </w:p>
    <w:p>
      <w:pPr>
        <w:pStyle w:val="null3"/>
        <w:ind w:firstLine="420"/>
        <w:jc w:val="both"/>
      </w:pPr>
      <w:r>
        <w:rPr>
          <w:sz w:val="21"/>
        </w:rPr>
        <w:t>以上项目成果，需提交纸质以及电子材料，其中纸质材料为一式</w:t>
      </w:r>
      <w:r>
        <w:rPr>
          <w:sz w:val="21"/>
        </w:rPr>
        <w:t>4 份，电子材料以光盘的形式提交。</w:t>
      </w:r>
    </w:p>
    <w:p>
      <w:pPr>
        <w:pStyle w:val="null3"/>
        <w:ind w:firstLine="420"/>
        <w:jc w:val="both"/>
      </w:pPr>
      <w:r>
        <w:rPr>
          <w:sz w:val="21"/>
        </w:rPr>
        <w:t>十一、质保期及售后服务要求</w:t>
      </w:r>
    </w:p>
    <w:p>
      <w:pPr>
        <w:pStyle w:val="null3"/>
        <w:ind w:firstLine="420"/>
        <w:jc w:val="both"/>
      </w:pPr>
      <w:r>
        <w:rPr>
          <w:sz w:val="21"/>
        </w:rPr>
        <w:t>1.</w:t>
      </w:r>
      <w:r>
        <w:rPr>
          <w:sz w:val="21"/>
        </w:rPr>
        <w:t>站点质保要求</w:t>
      </w:r>
    </w:p>
    <w:p>
      <w:pPr>
        <w:pStyle w:val="null3"/>
        <w:ind w:firstLine="420"/>
        <w:jc w:val="both"/>
      </w:pPr>
      <w:r>
        <w:rPr>
          <w:sz w:val="21"/>
        </w:rPr>
        <w:t>（</w:t>
      </w:r>
      <w:r>
        <w:rPr>
          <w:sz w:val="21"/>
        </w:rPr>
        <w:t>1）提供自站点终期验收通过后为期3年的质保期，确保站点数据连续准确，运行正常。</w:t>
      </w:r>
    </w:p>
    <w:p>
      <w:pPr>
        <w:pStyle w:val="null3"/>
        <w:ind w:firstLine="420"/>
        <w:jc w:val="both"/>
      </w:pPr>
      <w:r>
        <w:rPr>
          <w:sz w:val="21"/>
        </w:rPr>
        <w:t>（</w:t>
      </w:r>
      <w:r>
        <w:rPr>
          <w:sz w:val="21"/>
        </w:rPr>
        <w:t>2）每月开展不少于2次常规运维，根据实际情况开展应急维护。安排专人开展站点系统运行状态监控，按业务要求接收管理和分发观测数据。编制监控值班日志，对新发现的问题及时报告和处理。</w:t>
      </w:r>
    </w:p>
    <w:p>
      <w:pPr>
        <w:pStyle w:val="null3"/>
        <w:ind w:firstLine="420"/>
        <w:jc w:val="both"/>
      </w:pPr>
      <w:r>
        <w:rPr>
          <w:sz w:val="21"/>
        </w:rPr>
        <w:t>（</w:t>
      </w:r>
      <w:r>
        <w:rPr>
          <w:sz w:val="21"/>
        </w:rPr>
        <w:t>3）除台风、设备因碰撞等人为因素损坏等不可抗力外，水温、盐度、叶绿素、pH等关键生态要素数据获取率达到90%及以上。</w:t>
      </w:r>
    </w:p>
    <w:p>
      <w:pPr>
        <w:pStyle w:val="null3"/>
        <w:ind w:firstLine="420"/>
        <w:jc w:val="both"/>
      </w:pPr>
      <w:r>
        <w:rPr>
          <w:sz w:val="21"/>
        </w:rPr>
        <w:t>（</w:t>
      </w:r>
      <w:r>
        <w:rPr>
          <w:sz w:val="21"/>
        </w:rPr>
        <w:t>4）高清智能视频监控数据获取率达到90%及以上。</w:t>
      </w:r>
    </w:p>
    <w:p>
      <w:pPr>
        <w:pStyle w:val="null3"/>
        <w:ind w:firstLine="420"/>
        <w:jc w:val="both"/>
      </w:pPr>
      <w:r>
        <w:rPr>
          <w:sz w:val="21"/>
        </w:rPr>
        <w:t>（</w:t>
      </w:r>
      <w:r>
        <w:rPr>
          <w:sz w:val="21"/>
        </w:rPr>
        <w:t>5）关键仪器、设备均须按照国家标准、相关部门的有关规定实行周期检定、校准或自校。</w:t>
      </w:r>
    </w:p>
    <w:p>
      <w:pPr>
        <w:pStyle w:val="null3"/>
        <w:ind w:firstLine="420"/>
        <w:jc w:val="both"/>
      </w:pPr>
      <w:r>
        <w:rPr>
          <w:sz w:val="21"/>
        </w:rPr>
        <w:t>（</w:t>
      </w:r>
      <w:r>
        <w:rPr>
          <w:sz w:val="21"/>
        </w:rPr>
        <w:t>6）站点仪器设备出现故障，3天内恢复正常运行。</w:t>
      </w:r>
    </w:p>
    <w:p>
      <w:pPr>
        <w:pStyle w:val="null3"/>
        <w:ind w:firstLine="420"/>
        <w:jc w:val="both"/>
      </w:pPr>
      <w:r>
        <w:rPr>
          <w:sz w:val="21"/>
        </w:rPr>
        <w:t>2.本项目的质量保证期：严格按照厂家的质保年限执行，但自项目验收交付之日起总体项目提供不少于 3 年免费保修期，自双方签字验收合格之日起生效，质保期内乙方对所供货物实行包修、包换、包退、包维护保养，更换同种品牌不低于原规格型号的新部件和软件升级，不再向甲方收取任何费用。期满后可同时提供终身有偿维修保养服务，若有零部件出现故障，经权威部门鉴定属于寿命异常问题（明显短于该零部件正常寿命）时，则由乙方负责更换及维修（相关费用由乙方承担）。期满后，配合甲方完成后续交接工作，包括但不限于：设施设备清点及状态确认、运维技术资料及维护记录的完整移交、必要的技术交底和现场操作指导、交接前站点故障处理。</w:t>
      </w:r>
    </w:p>
    <w:p>
      <w:pPr>
        <w:pStyle w:val="null3"/>
        <w:ind w:firstLine="420"/>
        <w:jc w:val="both"/>
      </w:pPr>
      <w:r>
        <w:rPr>
          <w:sz w:val="21"/>
        </w:rPr>
        <w:t>3.质保期内，自验收并交付</w:t>
      </w:r>
      <w:r>
        <w:rPr>
          <w:sz w:val="21"/>
        </w:rPr>
        <w:t>甲方</w:t>
      </w:r>
      <w:r>
        <w:rPr>
          <w:sz w:val="21"/>
        </w:rPr>
        <w:t>使用之日起</w:t>
      </w:r>
      <w:r>
        <w:rPr>
          <w:sz w:val="21"/>
        </w:rPr>
        <w:t>3个月内出现仪器重大故障，</w:t>
      </w:r>
      <w:r>
        <w:rPr>
          <w:sz w:val="21"/>
        </w:rPr>
        <w:t>乙方</w:t>
      </w:r>
      <w:r>
        <w:rPr>
          <w:sz w:val="21"/>
        </w:rPr>
        <w:t>需无条件更换。</w:t>
      </w:r>
    </w:p>
    <w:p>
      <w:pPr>
        <w:pStyle w:val="null3"/>
        <w:ind w:firstLine="420"/>
        <w:jc w:val="both"/>
      </w:pPr>
      <w:r>
        <w:rPr>
          <w:sz w:val="21"/>
        </w:rPr>
        <w:t>4.设备质保期内，非因甲方原因致使本合同下设备出现产品质量问题或故障问题的，由乙方负责维修，甲方应在设备出现问题后向乙方发出维修通知，甲方维修通知发出后，视同该维修通知已送达乙方。乙方在接报(包括但不限于电话、电子邮件等方式)后6小时内响应，24小时派技术人员到达设备现场进行维修。原则上乙方应当自到达现场开始的48个小时内完成维修工作，如需更换配件等原因无法现场解决故障问题的，乙方在接报(包括但不限于电话、电子邮件等方式)后的72小时内提供不低于故障设备规格、型号、性能的备用设备供甲方代用，直至故障设备修复，如果需要更换配件的，更换的配件跟被更换的品牌、类型相一致或者是同类更高档次的替代品，后者需征得甲方管理人员同意。设备维修或更换零配件过程中及提供备用件时所产生的一切费用已包含在合同设备总价内。</w:t>
      </w:r>
    </w:p>
    <w:p>
      <w:pPr>
        <w:pStyle w:val="null3"/>
        <w:ind w:firstLine="420"/>
        <w:jc w:val="both"/>
      </w:pPr>
      <w:r>
        <w:rPr>
          <w:sz w:val="21"/>
        </w:rPr>
        <w:t>4.质保期内如货物故障经乙方3次维修后仍不能达到甲方使用标准，甲方有权退货，并</w:t>
      </w:r>
      <w:r>
        <w:rPr>
          <w:sz w:val="21"/>
        </w:rPr>
        <w:t>视作</w:t>
      </w:r>
      <w:r>
        <w:rPr>
          <w:sz w:val="21"/>
        </w:rPr>
        <w:t>乙方</w:t>
      </w:r>
      <w:r>
        <w:rPr>
          <w:sz w:val="21"/>
        </w:rPr>
        <w:t>不能交付货物而须支付违约赔偿金给</w:t>
      </w:r>
      <w:r>
        <w:rPr>
          <w:sz w:val="21"/>
        </w:rPr>
        <w:t>甲方</w:t>
      </w:r>
      <w:r>
        <w:rPr>
          <w:sz w:val="21"/>
        </w:rPr>
        <w:t>，</w:t>
      </w:r>
      <w:r>
        <w:rPr>
          <w:sz w:val="21"/>
        </w:rPr>
        <w:t>甲方</w:t>
      </w:r>
      <w:r>
        <w:rPr>
          <w:sz w:val="21"/>
        </w:rPr>
        <w:t>还可依法追究</w:t>
      </w:r>
      <w:r>
        <w:rPr>
          <w:sz w:val="21"/>
        </w:rPr>
        <w:t>乙方</w:t>
      </w:r>
      <w:r>
        <w:rPr>
          <w:sz w:val="21"/>
        </w:rPr>
        <w:t>的违约责任</w:t>
      </w:r>
    </w:p>
    <w:p>
      <w:pPr>
        <w:pStyle w:val="null3"/>
        <w:ind w:firstLine="420"/>
        <w:jc w:val="both"/>
      </w:pPr>
      <w:r>
        <w:rPr>
          <w:sz w:val="21"/>
        </w:rPr>
        <w:t>5.</w:t>
      </w:r>
      <w:r>
        <w:rPr>
          <w:sz w:val="21"/>
        </w:rPr>
        <w:t>乙方</w:t>
      </w:r>
      <w:r>
        <w:rPr>
          <w:sz w:val="21"/>
        </w:rPr>
        <w:t>需具有相应的售后服务能力，包括拥有相应的设备和人员。在保修期内，</w:t>
      </w:r>
      <w:r>
        <w:rPr>
          <w:sz w:val="21"/>
        </w:rPr>
        <w:t>乙方</w:t>
      </w:r>
      <w:r>
        <w:rPr>
          <w:sz w:val="21"/>
        </w:rPr>
        <w:t>需有可随时上门进行维修及检测的工程师</w:t>
      </w:r>
    </w:p>
    <w:p>
      <w:pPr>
        <w:pStyle w:val="null3"/>
        <w:ind w:firstLine="420"/>
        <w:jc w:val="both"/>
      </w:pPr>
      <w:r>
        <w:rPr>
          <w:sz w:val="21"/>
        </w:rPr>
        <w:t>6.乙方所投产品需提供设备扩容、升级方面的技术支持服务</w:t>
      </w:r>
    </w:p>
    <w:p>
      <w:pPr>
        <w:pStyle w:val="null3"/>
        <w:ind w:firstLine="420"/>
        <w:jc w:val="both"/>
      </w:pPr>
      <w:r>
        <w:rPr>
          <w:sz w:val="21"/>
        </w:rPr>
        <w:t>7.</w:t>
      </w:r>
      <w:r>
        <w:rPr>
          <w:sz w:val="21"/>
        </w:rPr>
        <w:t>乙方负责免费对用户进行操作、维护、日常故障等方面的培训，培训目标为：使用户指定受训人员能独立操作设备。</w:t>
      </w:r>
    </w:p>
    <w:p>
      <w:pPr>
        <w:pStyle w:val="null3"/>
        <w:ind w:firstLine="420"/>
        <w:jc w:val="both"/>
      </w:pPr>
      <w:r>
        <w:rPr>
          <w:sz w:val="21"/>
        </w:rPr>
        <w:t>十二、知识产权</w:t>
      </w:r>
    </w:p>
    <w:p>
      <w:pPr>
        <w:pStyle w:val="null3"/>
        <w:ind w:firstLine="420"/>
        <w:jc w:val="both"/>
      </w:pPr>
      <w:r>
        <w:rPr>
          <w:sz w:val="21"/>
        </w:rPr>
        <w:t>乙方保证甲方使用货物或货物任何一部分时，免受第三方提出的侵犯其知识产权的情形，如出现此情况，一切经济和法律责任均由乙方承担，若造成甲方损失的，乙方还应承担赔偿责任，且甲方有权要求乙方退回全部货款及按全部货款的</w:t>
      </w:r>
      <w:r>
        <w:rPr>
          <w:sz w:val="21"/>
        </w:rPr>
        <w:t>20%支付违约金。</w:t>
      </w:r>
    </w:p>
    <w:p>
      <w:pPr>
        <w:pStyle w:val="null3"/>
        <w:ind w:firstLine="420"/>
        <w:jc w:val="both"/>
      </w:pPr>
      <w:r>
        <w:rPr>
          <w:sz w:val="21"/>
        </w:rPr>
        <w:t>十三、违约责任与赔偿损失</w:t>
      </w:r>
    </w:p>
    <w:p>
      <w:pPr>
        <w:pStyle w:val="null3"/>
        <w:ind w:firstLine="420"/>
        <w:jc w:val="both"/>
      </w:pPr>
      <w:r>
        <w:rPr>
          <w:sz w:val="21"/>
        </w:rPr>
        <w:t>1.乙方交付的货物、工程/提供的服务任何一项不符合采购文件、报价文件或本合同规定的，甲方有权拒收合同所有货物、工程/提供的服务，并且乙方须向甲方支付本合同总价5%的违约金；若甲方接收后，发现乙方交付的货物、工程/提供的服务不符合采购文件、报价文件或本合同规定的，甲方有权退回乙方，若乙方拒绝接收的，由乙方承担货物灭失的风险，并且乙方需赔偿甲方全部损失及支付本合同总价5%的违约金。</w:t>
      </w:r>
    </w:p>
    <w:p>
      <w:pPr>
        <w:pStyle w:val="null3"/>
        <w:ind w:firstLine="420"/>
        <w:jc w:val="both"/>
      </w:pPr>
      <w:r>
        <w:rPr>
          <w:sz w:val="21"/>
        </w:rPr>
        <w:t>2.乙方未能按本合同规定的交货时间交付货物、工程/服务的，从逾期之日起每日按本合同总价3‰的数额向甲方支付违约金。</w:t>
      </w:r>
    </w:p>
    <w:p>
      <w:pPr>
        <w:pStyle w:val="null3"/>
        <w:ind w:firstLine="420"/>
        <w:jc w:val="both"/>
      </w:pPr>
      <w:r>
        <w:rPr>
          <w:sz w:val="21"/>
        </w:rPr>
        <w:t>3.甲方无正当理由拒收货物/接受服务，到期拒付货物/服务款项的，甲方向乙方偿付本合同总额的5%的违约金。甲方人为原因逾期付款，则从逾期之日起每日按</w:t>
      </w:r>
      <w:r>
        <w:rPr>
          <w:sz w:val="21"/>
        </w:rPr>
        <w:t>未付款项</w:t>
      </w:r>
      <w:r>
        <w:rPr>
          <w:sz w:val="21"/>
        </w:rPr>
        <w:t>的</w:t>
      </w:r>
      <w:r>
        <w:rPr>
          <w:sz w:val="21"/>
        </w:rPr>
        <w:t>3‰向乙方偿付违约金。逾期付款超过30天，乙方有权终止合同。</w:t>
      </w:r>
    </w:p>
    <w:p>
      <w:pPr>
        <w:pStyle w:val="null3"/>
        <w:ind w:firstLine="420"/>
        <w:jc w:val="both"/>
      </w:pPr>
      <w:r>
        <w:rPr>
          <w:sz w:val="21"/>
        </w:rPr>
        <w:t>4.乙方未按合同第六条约定履行售后服务的，甲方有权自行委托第三方处理，产生费用由乙方承担，且甲方有权要求乙方赔偿全部损失及按合同总价5%支付违约金。</w:t>
      </w:r>
    </w:p>
    <w:p>
      <w:pPr>
        <w:pStyle w:val="null3"/>
        <w:ind w:firstLine="420"/>
        <w:jc w:val="both"/>
      </w:pPr>
      <w:r>
        <w:rPr>
          <w:sz w:val="21"/>
        </w:rPr>
        <w:t>5.其它违约责任按《中华人民共和国民法典》处理。</w:t>
      </w:r>
    </w:p>
    <w:p>
      <w:pPr>
        <w:pStyle w:val="null3"/>
        <w:ind w:firstLine="420"/>
        <w:jc w:val="both"/>
      </w:pPr>
      <w:r>
        <w:rPr>
          <w:sz w:val="21"/>
        </w:rPr>
        <w:t>十四、争议的解决</w:t>
      </w:r>
    </w:p>
    <w:p>
      <w:pPr>
        <w:pStyle w:val="null3"/>
        <w:ind w:firstLine="420"/>
        <w:jc w:val="both"/>
      </w:pPr>
      <w:r>
        <w:rPr>
          <w:sz w:val="21"/>
        </w:rPr>
        <w:t>1.本合同订立、签署、履行、解释及争议解决等均适用中华人民共和国法律。</w:t>
      </w:r>
    </w:p>
    <w:p>
      <w:pPr>
        <w:pStyle w:val="null3"/>
        <w:ind w:firstLine="420"/>
        <w:jc w:val="both"/>
      </w:pPr>
      <w:r>
        <w:rPr>
          <w:sz w:val="21"/>
        </w:rPr>
        <w:t>2.如有本合同条款或本合同被确认无效或被撤销，本合同知识产权、保密及争议解决条款的效力不受影响。</w:t>
      </w:r>
    </w:p>
    <w:p>
      <w:pPr>
        <w:pStyle w:val="null3"/>
        <w:ind w:firstLine="420"/>
        <w:jc w:val="both"/>
      </w:pPr>
      <w:r>
        <w:rPr>
          <w:sz w:val="21"/>
        </w:rPr>
        <w:t>3.本合同生效后，各方均应全面履行本合同约定的义务。任何一方不履行或不完全履行本合同约定义务的，应当承担相应的违约责任，并赔偿由此给守约方造成的损失，包括守约方为实现债权而支付的律师费、保全费、诉讼收费、公证费、鉴定费等。</w:t>
      </w:r>
    </w:p>
    <w:p>
      <w:pPr>
        <w:pStyle w:val="null3"/>
        <w:ind w:firstLine="420"/>
        <w:jc w:val="both"/>
      </w:pPr>
      <w:r>
        <w:rPr>
          <w:sz w:val="21"/>
        </w:rPr>
        <w:t>4.双方因履行本合同而发生的争议，应协商、调解解决。协商、调解不成的，双方同意依法向甲方所在地人民法院起诉。</w:t>
      </w:r>
    </w:p>
    <w:p>
      <w:pPr>
        <w:pStyle w:val="null3"/>
        <w:ind w:firstLine="420"/>
        <w:jc w:val="both"/>
      </w:pPr>
      <w:r>
        <w:rPr>
          <w:sz w:val="21"/>
        </w:rPr>
        <w:t>十五、不可抗力</w:t>
      </w:r>
    </w:p>
    <w:p>
      <w:pPr>
        <w:pStyle w:val="null3"/>
        <w:ind w:firstLine="420"/>
        <w:jc w:val="both"/>
      </w:pPr>
      <w:r>
        <w:rPr>
          <w:sz w:val="21"/>
        </w:rPr>
        <w:t>任何一方由于不可抗力原因不能履行合同时，应在不可抗力事件结束后</w:t>
      </w:r>
      <w:r>
        <w:rPr>
          <w:sz w:val="21"/>
        </w:rPr>
        <w:t>48小时</w:t>
      </w:r>
      <w:r>
        <w:rPr>
          <w:sz w:val="21"/>
        </w:rPr>
        <w:t>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rPr>
        <w:t>十六、其它</w:t>
      </w:r>
    </w:p>
    <w:p>
      <w:pPr>
        <w:pStyle w:val="null3"/>
        <w:ind w:firstLine="420"/>
        <w:jc w:val="both"/>
      </w:pPr>
      <w:r>
        <w:rPr>
          <w:sz w:val="21"/>
        </w:rPr>
        <w:t>1.本合同所有附件、采购文件、投标文件、中标通知书通知书均为合同的有效组成部分，与本合同具有同等法律效力。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3.如一方地址、电话、传真号码有变更，应在变更前或者变更当日内书面通知对方，否则仍以未变更的地址视为送达地址，并承担因由此造成文件、通知等无法送达的法律责任。</w:t>
      </w:r>
    </w:p>
    <w:p>
      <w:pPr>
        <w:pStyle w:val="null3"/>
        <w:ind w:firstLine="420"/>
        <w:jc w:val="both"/>
      </w:pPr>
      <w:r>
        <w:rPr>
          <w:sz w:val="21"/>
        </w:rPr>
        <w:t>4.除甲方事先书面同意外，乙方不得部分或全部转让其应履行的合同项下的义务。</w:t>
      </w:r>
    </w:p>
    <w:p>
      <w:pPr>
        <w:pStyle w:val="null3"/>
        <w:ind w:firstLine="420"/>
        <w:jc w:val="both"/>
      </w:pPr>
      <w:r>
        <w:rPr>
          <w:sz w:val="21"/>
        </w:rPr>
        <w:t>十七、合同生效</w:t>
      </w:r>
    </w:p>
    <w:p>
      <w:pPr>
        <w:pStyle w:val="null3"/>
        <w:ind w:firstLine="420"/>
        <w:jc w:val="both"/>
      </w:pPr>
      <w:r>
        <w:rPr>
          <w:sz w:val="21"/>
        </w:rPr>
        <w:t>1.合同自甲乙双方法人代表或其授权代表签字盖章之日起生效。</w:t>
      </w:r>
    </w:p>
    <w:p>
      <w:pPr>
        <w:pStyle w:val="null3"/>
        <w:ind w:firstLine="420"/>
        <w:jc w:val="both"/>
      </w:pPr>
      <w:r>
        <w:rPr>
          <w:sz w:val="21"/>
        </w:rPr>
        <w:t>2.合同一式</w:t>
      </w:r>
      <w:r>
        <w:rPr>
          <w:u w:val="single"/>
        </w:rPr>
        <w:t xml:space="preserve">     </w:t>
      </w:r>
      <w:r>
        <w:rPr>
          <w:sz w:val="21"/>
        </w:rPr>
        <w:t>份，其中甲乙双方各执</w:t>
      </w:r>
      <w:r>
        <w:rPr>
          <w:u w:val="single"/>
        </w:rPr>
        <w:t xml:space="preserve">     </w:t>
      </w:r>
      <w:r>
        <w:rPr>
          <w:sz w:val="21"/>
        </w:rPr>
        <w:t>份，具有同等法律效力。</w:t>
      </w:r>
    </w:p>
    <w:p>
      <w:pPr>
        <w:pStyle w:val="null3"/>
        <w:ind w:firstLine="480"/>
        <w:jc w:val="both"/>
      </w:pPr>
      <w:r>
        <w:rPr>
          <w:sz w:val="21"/>
        </w:rPr>
        <w:t>甲方（盖章）：</w:t>
      </w:r>
      <w:r>
        <w:rPr>
          <w:sz w:val="21"/>
        </w:rPr>
        <w:t xml:space="preserve">                       </w:t>
      </w:r>
      <w:r>
        <w:rPr>
          <w:sz w:val="21"/>
        </w:rPr>
        <w:t>乙方（盖章）：</w:t>
      </w:r>
    </w:p>
    <w:p>
      <w:pPr>
        <w:pStyle w:val="null3"/>
        <w:ind w:firstLine="480"/>
        <w:jc w:val="both"/>
      </w:pPr>
      <w:r>
        <w:rPr>
          <w:sz w:val="21"/>
        </w:rPr>
        <w:t>代表：</w:t>
      </w:r>
      <w:r>
        <w:rPr>
          <w:sz w:val="21"/>
        </w:rPr>
        <w:t xml:space="preserve">                                  </w:t>
      </w:r>
      <w:r>
        <w:rPr>
          <w:sz w:val="21"/>
        </w:rPr>
        <w:t>代表：</w:t>
      </w:r>
    </w:p>
    <w:p>
      <w:pPr>
        <w:pStyle w:val="null3"/>
        <w:ind w:firstLine="480"/>
        <w:jc w:val="both"/>
      </w:pPr>
      <w:r>
        <w:rPr>
          <w:sz w:val="21"/>
        </w:rPr>
        <w:t>签定地点：</w:t>
      </w:r>
    </w:p>
    <w:p>
      <w:pPr>
        <w:pStyle w:val="null3"/>
        <w:ind w:firstLine="480"/>
        <w:jc w:val="both"/>
      </w:pPr>
      <w:r>
        <w:rPr>
          <w:sz w:val="21"/>
        </w:rPr>
        <w:t>签定日期：</w:t>
      </w:r>
      <w:r>
        <w:rPr>
          <w:sz w:val="21"/>
        </w:rPr>
        <w:t>年</w:t>
      </w:r>
      <w:r>
        <w:rPr>
          <w:sz w:val="21"/>
        </w:rPr>
        <w:t>月</w:t>
      </w:r>
      <w:r>
        <w:rPr>
          <w:sz w:val="21"/>
        </w:rPr>
        <w:t>日</w:t>
      </w:r>
      <w:r>
        <w:rPr>
          <w:sz w:val="21"/>
        </w:rPr>
        <w:t xml:space="preserve">                 </w:t>
      </w:r>
      <w:r>
        <w:rPr>
          <w:sz w:val="21"/>
        </w:rPr>
        <w:t>签定日期：</w:t>
      </w:r>
      <w:r>
        <w:rPr>
          <w:sz w:val="21"/>
        </w:rPr>
        <w:t>年</w:t>
      </w:r>
      <w:r>
        <w:rPr>
          <w:sz w:val="21"/>
        </w:rPr>
        <w:t>月</w:t>
      </w:r>
      <w:r>
        <w:rPr>
          <w:sz w:val="21"/>
        </w:rPr>
        <w:t>日</w:t>
      </w:r>
    </w:p>
    <w:p>
      <w:pPr>
        <w:pStyle w:val="null3"/>
        <w:ind w:firstLine="48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440001-2026-10551</w:t>
      </w:r>
    </w:p>
    <w:p>
      <w:pPr>
        <w:pStyle w:val="null3"/>
        <w:jc w:val="center"/>
        <w:outlineLvl w:val="3"/>
      </w:pPr>
      <w:r>
        <w:rPr>
          <w:sz w:val="24"/>
          <w:b/>
        </w:rPr>
        <w:t>采购项目编号：</w:t>
      </w:r>
      <w:r>
        <w:rPr>
          <w:sz w:val="24"/>
          <w:b/>
        </w:rPr>
        <w:t>3587-2612GDG30306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2026年省级海洋生态综合在线监测站点建设</w:t>
      </w:r>
      <w:r>
        <w:rPr>
          <w:u w:val="single"/>
        </w:rPr>
        <w:t>”</w:t>
      </w:r>
      <w:r>
        <w:rPr/>
        <w:t>项目的招标[采购项目编号为：</w:t>
      </w:r>
      <w:r>
        <w:rPr>
          <w:u w:val="single"/>
        </w:rPr>
        <w:t>3587-2612GDG30306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2026年省级海洋生态综合在线监测站点建设</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2026年省级海洋生态综合在线监测站点建设</w:t>
      </w:r>
      <w:r>
        <w:rPr/>
        <w:t>”项目采购[采购项目编号为</w:t>
      </w:r>
      <w:r>
        <w:rPr/>
        <w:t>3587-2612GDG30306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广东省地质环境监测总站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2026年省级海洋生态综合在线监测站点建设</w:t>
      </w:r>
      <w:r>
        <w:rPr/>
        <w:t>招标中获中标（采购项目编号：</w:t>
      </w:r>
      <w:r>
        <w:rPr/>
        <w:t>3587-2612GDG30306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广东信诚招标代理咨询有限公司</w:t>
      </w:r>
    </w:p>
    <w:p>
      <w:pPr>
        <w:pStyle w:val="null3"/>
        <w:ind w:firstLine="480"/>
      </w:pPr>
      <w:r>
        <w:rPr/>
        <w:t>我单位已登记并准备参与“</w:t>
      </w:r>
      <w:r>
        <w:rPr/>
        <w:t>2026年省级海洋生态综合在线监测站点建设</w:t>
      </w:r>
      <w:r>
        <w:rPr/>
        <w:t>”项目（采购项目编号：</w:t>
      </w:r>
      <w:r>
        <w:rPr/>
        <w:t>3587-2612GDG30306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