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440101-2026-13607</w:t>
      </w:r>
    </w:p>
    <w:p>
      <w:pPr>
        <w:pStyle w:val="null3"/>
        <w:jc w:val="center"/>
        <w:outlineLvl w:val="3"/>
      </w:pPr>
      <w:r>
        <w:rPr>
          <w:sz w:val="24"/>
          <w:b/>
        </w:rPr>
        <w:t>采购项目编号：</w:t>
      </w:r>
      <w:r>
        <w:rPr>
          <w:sz w:val="24"/>
          <w:b/>
        </w:rPr>
        <w:t>3587-2612GZG10810</w:t>
      </w:r>
    </w:p>
    <w:p>
      <w:pPr>
        <w:pStyle w:val="null3"/>
        <w:jc w:val="center"/>
        <w:outlineLvl w:val="3"/>
      </w:pPr>
      <w:r>
        <w:rPr>
          <w:sz w:val="24"/>
          <w:b/>
        </w:rPr>
        <w:t>项目名称：</w:t>
      </w:r>
      <w:r>
        <w:rPr>
          <w:sz w:val="24"/>
          <w:b/>
        </w:rPr>
        <w:t>医疗设备采购项目</w:t>
      </w:r>
    </w:p>
    <w:p>
      <w:pPr>
        <w:pStyle w:val="null3"/>
        <w:jc w:val="center"/>
        <w:outlineLvl w:val="3"/>
      </w:pPr>
      <w:r>
        <w:rPr>
          <w:sz w:val="24"/>
          <w:b/>
        </w:rPr>
        <w:t>采购人：</w:t>
      </w:r>
      <w:r>
        <w:rPr>
          <w:sz w:val="24"/>
          <w:b/>
        </w:rPr>
        <w:t>广州医科大学附属第一医院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广州医科大学附属第一医院</w:t>
      </w:r>
      <w:r>
        <w:rPr/>
        <w:t>的委托，采用</w:t>
      </w:r>
      <w:r>
        <w:rPr/>
        <w:t>公开招标</w:t>
      </w:r>
      <w:r>
        <w:rPr/>
        <w:t>方式组织采购</w:t>
      </w:r>
      <w:r>
        <w:rPr/>
        <w:t>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医疗设备采购项目</w:t>
      </w:r>
    </w:p>
    <w:p>
      <w:pPr>
        <w:pStyle w:val="null3"/>
        <w:ind w:firstLine="480"/>
      </w:pPr>
      <w:r>
        <w:rPr/>
        <w:t>采购计划编号：</w:t>
      </w:r>
      <w:r>
        <w:rPr/>
        <w:t>440101-2026-13607</w:t>
      </w:r>
    </w:p>
    <w:p>
      <w:pPr>
        <w:pStyle w:val="null3"/>
        <w:ind w:firstLine="480"/>
      </w:pPr>
      <w:r>
        <w:rPr/>
        <w:t>采购项目编号：</w:t>
      </w:r>
      <w:r>
        <w:rPr/>
        <w:t>3587-2612GZG10810</w:t>
      </w:r>
    </w:p>
    <w:p>
      <w:pPr>
        <w:pStyle w:val="null3"/>
        <w:ind w:firstLine="480"/>
      </w:pPr>
      <w:r>
        <w:rPr/>
        <w:t>采购方式：</w:t>
      </w:r>
      <w:r>
        <w:rPr/>
        <w:t>公开招标</w:t>
      </w:r>
    </w:p>
    <w:p>
      <w:pPr>
        <w:pStyle w:val="null3"/>
        <w:ind w:firstLine="480"/>
      </w:pPr>
      <w:r>
        <w:rPr/>
        <w:t>预算金额：</w:t>
      </w:r>
      <w:r>
        <w:rPr/>
        <w:t>3,200,000.00</w:t>
      </w:r>
      <w:r>
        <w:rPr/>
        <w:t>元</w:t>
      </w:r>
    </w:p>
    <w:p>
      <w:pPr>
        <w:pStyle w:val="null3"/>
        <w:outlineLvl w:val="3"/>
      </w:pPr>
      <w:r>
        <w:rPr>
          <w:sz w:val="24"/>
          <w:b/>
        </w:rPr>
        <w:t>2.项目内容及需求情况（采购项目技术规格、参数及要求）</w:t>
      </w:r>
    </w:p>
    <w:p>
      <w:pPr>
        <w:pStyle w:val="null3"/>
      </w:pPr>
      <w:r>
        <w:rPr/>
        <w:t>采购包1(临床检验设备):</w:t>
      </w:r>
    </w:p>
    <w:p>
      <w:pPr>
        <w:pStyle w:val="null3"/>
      </w:pPr>
      <w:r>
        <w:rPr/>
        <w:t>采购包预算金额：3,200,000.00元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临床检验设备</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品目名称</w:t>
            </w:r>
          </w:p>
        </w:tc>
        <w:tc>
          <w:tcPr>
            <w:tcW w:type="dxa" w:w="1661"/>
          </w:tcPr>
          <w:p>
            <w:pPr>
              <w:pStyle w:val="null3"/>
              <w:jc w:val="center"/>
            </w:pPr>
            <w:r>
              <w:rPr/>
              <w:t>采购标的</w:t>
            </w:r>
          </w:p>
        </w:tc>
        <w:tc>
          <w:tcPr>
            <w:tcW w:type="dxa" w:w="1661"/>
          </w:tcPr>
          <w:p>
            <w:pPr>
              <w:pStyle w:val="null3"/>
              <w:jc w:val="center"/>
            </w:pPr>
            <w:r>
              <w:rPr/>
              <w:t>产品名称</w:t>
            </w:r>
          </w:p>
        </w:tc>
        <w:tc>
          <w:tcPr>
            <w:tcW w:type="dxa" w:w="1661"/>
          </w:tcPr>
          <w:p>
            <w:pPr>
              <w:pStyle w:val="null3"/>
              <w:jc w:val="center"/>
            </w:pPr>
            <w:r>
              <w:rPr/>
              <w:t>在中国境内生产的组件成本占比达到规定比例（%）</w:t>
            </w:r>
          </w:p>
        </w:tc>
      </w:tr>
      <w:tr>
        <w:tc>
          <w:tcPr>
            <w:tcW w:type="dxa" w:w="1661"/>
          </w:tcPr>
          <w:p>
            <w:pPr>
              <w:pStyle w:val="null3"/>
              <w:jc w:val="center"/>
            </w:pPr>
            <w:r>
              <w:rPr/>
              <w:t>1</w:t>
            </w:r>
          </w:p>
        </w:tc>
        <w:tc>
          <w:tcPr>
            <w:tcW w:type="dxa" w:w="1661"/>
          </w:tcPr>
          <w:p>
            <w:pPr>
              <w:pStyle w:val="null3"/>
              <w:jc w:val="left"/>
            </w:pPr>
            <w:r>
              <w:rPr/>
              <w:t>临床检验设备</w:t>
            </w:r>
          </w:p>
        </w:tc>
        <w:tc>
          <w:tcPr>
            <w:tcW w:type="dxa" w:w="1661"/>
          </w:tcPr>
          <w:p>
            <w:pPr>
              <w:pStyle w:val="null3"/>
              <w:jc w:val="left"/>
            </w:pPr>
            <w:r>
              <w:rPr/>
              <w:t>临床检验设备</w:t>
            </w:r>
          </w:p>
        </w:tc>
        <w:tc>
          <w:tcPr>
            <w:tcW w:type="dxa" w:w="1661"/>
          </w:tcPr>
          <w:p>
            <w:pPr>
              <w:pStyle w:val="null3"/>
              <w:jc w:val="left"/>
            </w:pPr>
            <w:r>
              <w:rPr/>
              <w:t>快速基因测序仪</w:t>
            </w:r>
          </w:p>
        </w:tc>
        <w:tc>
          <w:tcPr>
            <w:tcW w:type="dxa" w:w="1661"/>
          </w:tcPr>
          <w:p>
            <w:pPr>
              <w:pStyle w:val="null3"/>
              <w:jc w:val="right"/>
            </w:pPr>
            <w:r>
              <w:rPr/>
              <w:t>80</w:t>
            </w:r>
          </w:p>
        </w:tc>
      </w:tr>
      <w:tr>
        <w:tc>
          <w:tcPr>
            <w:tcW w:type="dxa" w:w="1661"/>
          </w:tcPr>
          <w:p>
            <w:pPr>
              <w:pStyle w:val="null3"/>
              <w:jc w:val="center"/>
            </w:pPr>
            <w:r>
              <w:rPr/>
              <w:t>2</w:t>
            </w:r>
          </w:p>
        </w:tc>
        <w:tc>
          <w:tcPr>
            <w:tcW w:type="dxa" w:w="1661"/>
          </w:tcPr>
          <w:p>
            <w:pPr>
              <w:pStyle w:val="null3"/>
              <w:jc w:val="left"/>
            </w:pPr>
            <w:r>
              <w:rPr/>
              <w:t>临床检验设备</w:t>
            </w:r>
          </w:p>
        </w:tc>
        <w:tc>
          <w:tcPr>
            <w:tcW w:type="dxa" w:w="1661"/>
          </w:tcPr>
          <w:p>
            <w:pPr>
              <w:pStyle w:val="null3"/>
              <w:jc w:val="left"/>
            </w:pPr>
            <w:r>
              <w:rPr/>
              <w:t>临床检验设备</w:t>
            </w:r>
          </w:p>
        </w:tc>
        <w:tc>
          <w:tcPr>
            <w:tcW w:type="dxa" w:w="1661"/>
          </w:tcPr>
          <w:p>
            <w:pPr>
              <w:pStyle w:val="null3"/>
              <w:jc w:val="left"/>
            </w:pPr>
            <w:r>
              <w:rPr/>
              <w:t>全自动数据分析管理系统设备</w:t>
            </w:r>
          </w:p>
        </w:tc>
        <w:tc>
          <w:tcPr>
            <w:tcW w:type="dxa" w:w="1661"/>
          </w:tcPr>
          <w:p>
            <w:pPr>
              <w:pStyle w:val="null3"/>
              <w:jc w:val="right"/>
            </w:pPr>
            <w:r>
              <w:rPr/>
              <w:t>80</w:t>
            </w:r>
          </w:p>
        </w:tc>
      </w:tr>
    </w:tbl>
    <w:p>
      <w:pPr>
        <w:pStyle w:val="null3"/>
      </w:pPr>
      <w:r>
        <w:rPr/>
        <w:t>本采购包不接受联合体投标</w:t>
      </w:r>
    </w:p>
    <w:p>
      <w:pPr>
        <w:pStyle w:val="null3"/>
      </w:pPr>
      <w:r>
        <w:rPr/>
        <w:t>合同分包：不允许合同分包</w:t>
      </w:r>
    </w:p>
    <w:p>
      <w:pPr>
        <w:pStyle w:val="null3"/>
      </w:pPr>
      <w:r>
        <w:rPr/>
        <w:t>合同履行期限：自合同签订之日起30天内到货。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声明函（格式自定）或提供以下资料：提供投标文件提交截止日前12个月内任意1个月依法缴纳税收和社会保障资金的相关材料。如依法免税或不需要缴纳社会保障资金的，提供相应证明材料；若已对接“粤省事”、“粤商通”、“粤信签”等系统的，可提供书面声明函（格式自拟）。</w:t>
      </w:r>
    </w:p>
    <w:p>
      <w:pPr>
        <w:pStyle w:val="null3"/>
      </w:pPr>
      <w:r>
        <w:rPr/>
        <w:t>3）具有良好的商业信誉和健全的财务会计制度：提供声明函（格式自定）或提供2024年度或2025年度的财务状况报告或基本开户行出具的资信证明或财政部门认可的政府采购专业担保机构出具的担保函,成立不足一年的单位可以提供响应文件提交截止前上一季度或月份财务会计报表；若已对接“粤省事”、“粤商通”、“粤信签”等系统的，可提供书面声明函（格式自拟）。</w:t>
      </w:r>
    </w:p>
    <w:p>
      <w:pPr>
        <w:pStyle w:val="null3"/>
      </w:pPr>
      <w:r>
        <w:rPr/>
        <w:t>4）履行合同所必需的设备和专业技术能力：提供声明函（格式自拟）。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6）法律、行政法规规定的其他条件：提供声明函（格式自拟）。</w:t>
      </w:r>
    </w:p>
    <w:p>
      <w:pPr>
        <w:pStyle w:val="null3"/>
        <w:outlineLvl w:val="3"/>
      </w:pPr>
      <w:r>
        <w:rPr>
          <w:sz w:val="24"/>
          <w:b/>
        </w:rPr>
        <w:t>2.落实政府采购政策需满足的资格要求：</w:t>
      </w:r>
    </w:p>
    <w:p>
      <w:pPr>
        <w:pStyle w:val="null3"/>
        <w:jc w:val="left"/>
      </w:pPr>
      <w:r>
        <w:rPr/>
        <w:t>采购包1（临床检验设备）：</w:t>
      </w:r>
      <w:r>
        <w:rPr/>
        <w:t>本采购包属于专门面向中小企业采购的项目，中小企业以供应商填写的《中小企业声明函(货物)》（见招标文件格式）为判定标准，残疾人福利性单位以供应商提供的《残疾人福利性单位声明函》(见招标文件格式)为判定标准，监狱企业须提供由省级以上监狱管理局、戒毒管理局(含新疆生产建设兵团)出具的属于监狱企业的证明文件。本项目的中小企业划分标准所属行业为：工业。</w:t>
      </w:r>
    </w:p>
    <w:p>
      <w:pPr>
        <w:pStyle w:val="null3"/>
        <w:outlineLvl w:val="3"/>
      </w:pPr>
      <w:r>
        <w:rPr>
          <w:sz w:val="24"/>
          <w:b/>
        </w:rPr>
        <w:t>3.本项目特定的资格要求：</w:t>
      </w:r>
    </w:p>
    <w:p>
      <w:pPr>
        <w:pStyle w:val="null3"/>
      </w:pPr>
      <w:r>
        <w:rPr/>
        <w:t>采购包1（临床检验设备）：</w:t>
      </w:r>
    </w:p>
    <w:p>
      <w:pPr>
        <w:pStyle w:val="null3"/>
      </w:pPr>
      <w:r>
        <w:rPr/>
        <w:t>1)供应商未被列入“信用中国”网站(www.creditchina.gov.cn)以下任何记录名单之一：① 失信被执行人；② 重大税收违法失信主体；③ 政府采购严重违法失信行为记录名单。同时，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响应）。为本项目提供整体设计、规范编制或者项目管理、监理、检测等服务的供应商，不得再参与本项目投标（响应）。按照投标（报价）函相关承诺要求内容执行。</w:t>
      </w:r>
    </w:p>
    <w:p>
      <w:pPr>
        <w:pStyle w:val="null3"/>
      </w:pPr>
      <w:r>
        <w:rPr/>
        <w:t>3)如投标人为所投产品的生产企业：所投产品为第二类、三类医疗器械，提供药品监督管理部门签发的有效的《医疗器械生产许可证》复印件。如投标人为所投产品的经营企业：所投产品为第三类医疗器械，提供药品监督管理部门签发的有效的《医疗器械经营许可证》复印件。（如投标人所在地实施“一照通行”相关政策，其医疗器械经营许可证以二维码形式集中反映在营业执照上的，应提供扫描二维码后反映的有效许可事项信息截图）</w:t>
      </w:r>
    </w:p>
    <w:p>
      <w:pPr>
        <w:pStyle w:val="null3"/>
      </w:pPr>
      <w:r>
        <w:rPr/>
        <w:t>4)所投产品属于第二类、第三类医疗器械，则必须提供药品监督管理部门签发的有效的《医疗器械注册证》复印件。（提供证书复印件并加盖投标人公章） 注：若所投产品并非医疗器械，则无须提供上述资料。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中国采购与招标网（http://www.chinabidding.com.cn/）,中国财经报网（http://www.cfen.com.cn/），广东信诚招标代理咨询有限公司（http://www.gdxczb.cn/）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广州医科大学附属第一医院</w:t>
      </w:r>
    </w:p>
    <w:p>
      <w:pPr>
        <w:pStyle w:val="null3"/>
        <w:ind w:firstLine="480"/>
      </w:pPr>
      <w:r>
        <w:rPr/>
        <w:t xml:space="preserve"> 地址：</w:t>
      </w:r>
      <w:r>
        <w:rPr/>
        <w:t>广州市荔湾区桥中中路28号</w:t>
      </w:r>
    </w:p>
    <w:p>
      <w:pPr>
        <w:pStyle w:val="null3"/>
        <w:ind w:firstLine="480"/>
      </w:pPr>
      <w:r>
        <w:rPr/>
        <w:t xml:space="preserve"> 联系方式：</w:t>
      </w:r>
      <w:r>
        <w:rPr/>
        <w:t>020-81556497</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1287"/>
        <w:gridCol w:w="3088"/>
        <w:gridCol w:w="1518"/>
        <w:gridCol w:w="2409"/>
      </w:tblGrid>
      <w:tr>
        <w:tc>
          <w:tcPr>
            <w:tcW w:type="dxa" w:w="1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采购内容</w:t>
            </w:r>
          </w:p>
        </w:tc>
        <w:tc>
          <w:tcPr>
            <w:tcW w:type="dxa" w:w="1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p>
            <w:pPr>
              <w:pStyle w:val="null3"/>
              <w:jc w:val="center"/>
            </w:pPr>
            <w:r>
              <w:rPr>
                <w:sz w:val="24"/>
              </w:rPr>
              <w:t>（单位）</w:t>
            </w:r>
          </w:p>
        </w:tc>
        <w:tc>
          <w:tcPr>
            <w:tcW w:type="dxa" w:w="2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预算金额</w:t>
            </w:r>
          </w:p>
          <w:p>
            <w:pPr>
              <w:pStyle w:val="null3"/>
              <w:jc w:val="center"/>
            </w:pPr>
            <w:r>
              <w:rPr>
                <w:sz w:val="24"/>
              </w:rPr>
              <w:t>（人民币</w:t>
            </w:r>
            <w:r>
              <w:rPr>
                <w:sz w:val="24"/>
              </w:rPr>
              <w:t>/元）</w:t>
            </w:r>
          </w:p>
        </w:tc>
      </w:tr>
      <w:tr>
        <w:tc>
          <w:tcPr>
            <w:tcW w:type="dxa" w:w="1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t>快速基因测序仪</w:t>
            </w:r>
          </w:p>
        </w:tc>
        <w:tc>
          <w:tcPr>
            <w:tcW w:type="dxa" w:w="1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24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w:t>
            </w:r>
            <w:r>
              <w:rPr>
                <w:sz w:val="24"/>
              </w:rPr>
              <w:t>20</w:t>
            </w:r>
            <w:r>
              <w:rPr>
                <w:sz w:val="24"/>
              </w:rPr>
              <w:t>0,000.00</w:t>
            </w:r>
          </w:p>
        </w:tc>
      </w:tr>
      <w:tr>
        <w:tc>
          <w:tcPr>
            <w:tcW w:type="dxa" w:w="1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t>全自动数据分析管理系统设备</w:t>
            </w:r>
          </w:p>
        </w:tc>
        <w:tc>
          <w:tcPr>
            <w:tcW w:type="dxa" w:w="1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套</w:t>
            </w:r>
          </w:p>
        </w:tc>
        <w:tc>
          <w:tcPr>
            <w:tcW w:type="dxa" w:w="2409"/>
            <w:vMerge/>
            <w:tcBorders>
              <w:top w:val="none" w:color="000000" w:sz="4"/>
              <w:left w:val="single" w:color="000000" w:sz="4"/>
              <w:bottom w:val="single" w:color="000000" w:sz="4"/>
              <w:right w:val="single" w:color="000000" w:sz="4"/>
            </w:tcBorders>
          </w:tcPr>
          <w:p/>
        </w:tc>
      </w:tr>
    </w:tbl>
    <w:p>
      <w:pPr>
        <w:pStyle w:val="null3"/>
        <w:jc w:val="left"/>
      </w:pPr>
      <w:r>
        <w:rPr>
          <w:sz w:val="24"/>
          <w:b/>
        </w:rPr>
        <w:t>本项目的核心产品：</w:t>
      </w:r>
      <w:r>
        <w:rPr>
          <w:sz w:val="24"/>
          <w:b/>
          <w:u w:val="single"/>
        </w:rPr>
        <w:t>快速基因测序仪</w:t>
      </w:r>
      <w:r>
        <w:rPr>
          <w:sz w:val="24"/>
          <w:b/>
        </w:rPr>
        <w:t>。</w:t>
      </w:r>
    </w:p>
    <w:p>
      <w:pPr>
        <w:pStyle w:val="null3"/>
        <w:jc w:val="left"/>
      </w:pPr>
      <w:r>
        <w:rPr>
          <w:sz w:val="24"/>
          <w:b/>
        </w:rPr>
        <w:t>（二）其他说明</w:t>
      </w:r>
    </w:p>
    <w:p>
      <w:pPr>
        <w:pStyle w:val="null3"/>
      </w:pPr>
      <w:r>
        <w:rPr>
          <w:sz w:val="24"/>
        </w:rPr>
        <w:t>1.</w:t>
      </w:r>
      <w:r>
        <w:rPr>
          <w:sz w:val="24"/>
        </w:rPr>
        <w:t>需要落实的政府采购政策：《政府采购促进中小企业发展管理办法》（财库〔</w:t>
      </w:r>
      <w:r>
        <w:rPr>
          <w:sz w:val="24"/>
        </w:rPr>
        <w:t>2020〕46号）、《关于政府采购支持监狱企业发展有关问题的通知》(财库〔2014〕68号)、《关于促进残疾人就业政府采购政策的通知》（财库〔2017〕141 号)、《关于印发环境标志产品政府采购品目清单的通知》(财库〔2019〕18号)、《关于印发节能产品政府采购品目清单的通知》(财库〔2019〕19号)、《关于调整优化节能产品、环境标志产品政府采购执行机制的通知》（财库〔2019〕9号）、《国务院办公厅关于在政府采购中实施本国产品标准及相关政策的通知》（国办发〔2025〕34号）及《财政部关于贯彻落实&lt;国务院办公厅关于在政府采购中实施本国产品标准及相关政策的通知&gt;的意见》（财库〔2025〕30号）、</w:t>
      </w:r>
      <w:r>
        <w:rPr>
          <w:sz w:val="24"/>
        </w:rPr>
        <w:t>《商品包装政府采购需求标准（试行）》及《快递包装政府采购需求标准（试行）》（财办库〔</w:t>
      </w:r>
      <w:r>
        <w:rPr>
          <w:sz w:val="24"/>
        </w:rPr>
        <w:t>2020〕123号）、</w:t>
      </w:r>
      <w:r>
        <w:rPr>
          <w:sz w:val="24"/>
        </w:rPr>
        <w:t>《关于推动解决政府采购异常低价问题的通知》（财库〔</w:t>
      </w:r>
      <w:r>
        <w:rPr>
          <w:sz w:val="24"/>
        </w:rPr>
        <w:t>2026〕2号）等。</w:t>
      </w:r>
    </w:p>
    <w:p>
      <w:pPr>
        <w:pStyle w:val="null3"/>
      </w:pPr>
      <w:r>
        <w:rPr>
          <w:sz w:val="24"/>
        </w:rPr>
        <w:t>2.</w:t>
      </w:r>
      <w:r>
        <w:rPr>
          <w:sz w:val="24"/>
        </w:rPr>
        <w:t>投标人所投货物属于本国产品的，投标人需填写《关于符合本国产品标准的声明函》《关于本国产品比例的声明函》（见投标文件格式的格式五中附件</w:t>
      </w:r>
      <w:r>
        <w:rPr>
          <w:sz w:val="24"/>
        </w:rPr>
        <w:t>2、附件3）</w:t>
      </w:r>
    </w:p>
    <w:p>
      <w:pPr>
        <w:pStyle w:val="null3"/>
      </w:pPr>
      <w:r>
        <w:rPr>
          <w:sz w:val="24"/>
        </w:rPr>
        <w:t>3.</w:t>
      </w:r>
      <w:r>
        <w:rPr>
          <w:sz w:val="24"/>
        </w:rPr>
        <w:t>采购文件中有</w:t>
      </w:r>
      <w:r>
        <w:rPr>
          <w:sz w:val="24"/>
        </w:rPr>
        <w:t>“免费”“无偿”等类似意思表达的文字，其均指供应商应当在投标报价中包含向采购人提供这些技术（服务）或商务（服务）事项，而并非要求供应商以“赠送”“赠与”等方式提供。</w:t>
      </w:r>
    </w:p>
    <w:p>
      <w:pPr>
        <w:pStyle w:val="null3"/>
        <w:jc w:val="both"/>
      </w:pPr>
      <w:r>
        <w:rPr/>
        <w:t xml:space="preserve"> </w:t>
      </w:r>
    </w:p>
    <w:p>
      <w:pPr>
        <w:pStyle w:val="null3"/>
      </w:pPr>
      <w:r>
        <w:rPr/>
        <w:t>采购包1（临床检验设备）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自合同签订之日起30天内到货。</w:t>
            </w:r>
          </w:p>
        </w:tc>
      </w:tr>
      <w:tr>
        <w:tc>
          <w:tcPr>
            <w:tcW w:type="dxa" w:w="4153"/>
          </w:tcPr>
          <w:p>
            <w:pPr>
              <w:pStyle w:val="null3"/>
            </w:pPr>
            <w:r>
              <w:rPr/>
              <w:t>标的提供的地点</w:t>
            </w:r>
          </w:p>
        </w:tc>
        <w:tc>
          <w:tcPr>
            <w:tcW w:type="dxa" w:w="4153"/>
          </w:tcPr>
          <w:p>
            <w:pPr>
              <w:pStyle w:val="null3"/>
            </w:pPr>
            <w:r>
              <w:rPr/>
              <w:t>中标人负责运输及卸车至采购人指定地点，并承担设备的运费、保险费等费用，装卸费由中标人承担。运输过程中因故发生的货物数量、质量问题及损失所产生费用由中标人负责。</w:t>
            </w:r>
          </w:p>
        </w:tc>
      </w:tr>
      <w:tr>
        <w:tc>
          <w:tcPr>
            <w:tcW w:type="dxa" w:w="4153"/>
          </w:tcPr>
          <w:p>
            <w:pPr>
              <w:pStyle w:val="null3"/>
            </w:pPr>
            <w:r>
              <w:rPr/>
              <w:t>付款方式</w:t>
            </w:r>
          </w:p>
        </w:tc>
        <w:tc>
          <w:tcPr>
            <w:tcW w:type="dxa" w:w="4153"/>
          </w:tcPr>
          <w:p>
            <w:pPr>
              <w:pStyle w:val="null3"/>
            </w:pPr>
            <w:r>
              <w:rPr/>
              <w:t>1期：支付比例80%,本合同的每笔款项以人民币方式支付，支付的时间和金额双方约定如下：双方签订合同后，中标人向采购人提供合同金额80%的有效发票，采购人在收到中标人发票后5个工作日内办理支付80%合同金额作为预付款；</w:t>
            </w:r>
          </w:p>
          <w:p>
            <w:pPr>
              <w:pStyle w:val="null3"/>
            </w:pPr>
            <w:r>
              <w:rPr/>
              <w:t>2期：支付比例20%,待合同设备全部到货至采购人指定地点办理交付手续，完成清点和安装调试验收合格后，凭：（1）中标人开具的正式发票（2）安装验收报告，由采购人办理支付中标人余下货款。 注：如购买设备的款源来自上级财政部门，财政到款再行办理支付手续。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1期：1.设备安装完成后，自中标人提出验收申请之日起7个工作日内验收，验收应在采购人和中标人双方共同参加下进行。 2.验收按国家有关规定、规范进行。验收时如发现所交付的设备有短装、次品、损坏或其他不符合本合同规定之情形者，采购人应作出详尽的现场记录，或由采购人和中标人双方签署备忘录。此现场记录或备忘录可用作补充、缺失和更换损坏部件的有效证据。由此产生的有关费用由中标人承担，中标人应在10天内补充及给予解决。 3.如果合同设备运输和安装过程中因事故造成货物短缺、损坏，中标人应及时安排换装，以保证合同设备安装的成功完成。换货的相关费用由中标人承担。 4.中标人或厂家负责提供有数据的验收测试报告（属计量器具的设备需提供计量检测合格报告和负责首次计量强制检定），大型设备需提供第三方测试报告，费用由中标人承担。 5.中标人或厂家负责提供设备与医院在用信息系统接入服务（HIS、PAS系统等），接口费用由中标人承担。 6.合同设备验收时要求提供操作规程、维护保养细则、原厂及中文操作手册、快速操作卡片、合格证、保修卡、随机资料及配件、随机工具等供医院使用科室、设备科各留存一份。 7.中标人保证合同项下提供的设备不侵犯任何第三方的专利、商标或版权。否则，中标人须承担对第三方的专利或版权的侵权责任并承担因此而发生的所有费用。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其他商务要求，1.费用承担 1.1本项目的报价和结算支付均以人民币为货币单位。 1.2本项目为交钥匙项目，投标人报价应包括设备采购（制造）、设计、保险费、包装、仓储、运输、培训、安装及验收合格之前及保修期间包括备品备件发生等履行本项目所产生的所有含税费用及不可预见费用。本项目在合同执行期间合同总金额不变。 1.3投标人应自行增加设备正常、合法、安全运行及使用所必需但招标文件没有包含的所有设备、版权、专利等一切费用。 1.4投标人应被认为在填报投标报价之前，已经仔细阅读了本招标文件的所有有关章节以及审查了所有相关资料，以确保本次招标的所有招标范围内的各种价格风险均已包含在投标报价内。开标后，任何因投标人的疏漏而提出的不利于采购人的另行支付与本项目相关的任何费用的申请将不被接受。 2.包装运输 2.1合同设备的包装 2.1.1设备的包装均应有良好的防湿、防锈、防潮、防雨、防腐及防碰撞的措施。凡由于包装不良造成的损失和由此产生的费用均由中标人承担。 2.2合同设备的交货 2.2.1中标人交货时间：自合同签订之日起30天内到货。 2.2.2中标人交货地点：中标人负责运输及卸车至采购人指定地点，并承担设备的运费、保险费等费用，装卸费由中标人承担。 2.3合同设备的安装调试 2.3.1中标人负责合同项下所有设备的安装，一切费用由中标人负责（含安装过程中的吊装及搬运费用）。 2.3.2设备到货后，中标人负责安装调试完成；中标人安装时须对各安装场地内的其他设备、设施有良好保护措施。 2.3.3中标人或厂家提供的设备必须符合中国电源和气源标准，并配置规范合适医院使用的水电气接插件（如三线接地扁插头等），如不符合需更换（更换费用包含在投标报价中）。 3.售后服务 ★3.1中标人保证合同设备是全新、未曾使用过的，其质量、规格及技术特征符合合同附件的要求，并提供货物的装箱清单、用户手册、合格证、保修卡、随机资料及配件、随机工具等。 ★3.2自验收合格之日起主机免费保修期（保质保用期）≥4年（提供厂家承诺函，格式自拟）。 3.3保修期的期限应以采购人和中标人双方的验收合格之日起计算，保修期内免费更换零配件及工时费。中标人保证在保修期内应确保开机率为95%以上，如达不到此要求，即相应延长保修期。由于质量、性能原因更换补缺零配件，相应延长修补或更换部件的质量保证期。 3.4验收后一个月内出现非人为质量问题的，由中标人负责包换或包退，保修期（保质保用期）内非因采购人的人为原因而出现产品质量及安装问题，由中标人负责包修，并承担因此而产生的一切费用。中标人应在接到采购人通知后按采购人要求派员到现场维修，报修响应时间 1小时内，到场时间 24 小时内，提供免费咨询电话。 3.5保修期后，中标人提供终身免费保修服务；国内具有大规模零配件库存，以保证及时的零配件供应，如需更换零配件，中标人只收取零配件费。在硬件无改变的情况下，软件终身免费升级。 3.6下列情况中标人不负责免费保修： ①未按照中标人提供的正确使用方法而引致设备故障损坏； ②擅自改装设备。 3.7因设备的质量问题而发生争议，由广东省或广州市质检部门进行质量鉴定。设备符合质量标准的，鉴定费用由采购人承担；设备不符合质量标准的，鉴定费用由中标人承担。 3.8中标人无偿现场培训采购人维修人员，主要内容为设备的基本结构、性能、主要部件的构造及修理，日常使用保养与管理，常见故障的排除，紧急情况的处理等。 3.9中标人应派专业技术人员在项目现场对采购人使用人员进行培训或指导（培训内容包括但不限于设备的基本结构、性能、操作使用及紧急情况的处理等相关内容），在使用一段时间后根据采购人的要求另行安排培训计划。培训标准以采购人相关人员掌握设备性能及熟练安全操作为准。 3.10中标人应承诺中标后在广东省内设有售后服务点（投标人投标时提供承诺函，格式自拟）。 4.技术要求 4.1 中标人所提供设备，必须符合国家有关规范和环保要求及采购人的技术要求，并提供设备的检测报告。 4.2 中标人或厂家技术人员需在安装前做好设备安装场地承重、供水供电和使用环境要求的落实，提供设备相关的物理尺寸、重量和安装水电布局图纸和数据等资料（小设备和低功率除外）。 4.3中标人按采购人提供的合同执行进度计划，再配合采购人及有关单位，以此做好合同执行进度上的配合工作。 ★5.如投标人为经营企业：所投产品为第二类医疗器械，投标时具有监督管理部门签发的医疗器械经营备案凭证复印件，或承诺供货时提供监督管理部门签发的医疗器械经营备案凭证复印件，如投标人所在地实施“一照通行”相关政策，其医疗器械经营备案以二维码形式集中反映在营业执照上的，应提供扫描二维码后反映的有效许可事项信息截图。（提供备案凭证复印件或承诺函并加盖投标人公章，不提供视为不响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临床检验设备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3,200,000.00</w:t>
            </w:r>
          </w:p>
        </w:tc>
        <w:tc>
          <w:tcPr>
            <w:tcW w:type="dxa" w:w="831"/>
          </w:tcPr>
          <w:p>
            <w:pPr>
              <w:pStyle w:val="null3"/>
              <w:jc w:val="right"/>
            </w:pPr>
            <w:r>
              <w:rPr/>
              <w:t>3,200,000.00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临床检验设备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一、快速基因测序仪</w:t>
            </w:r>
          </w:p>
          <w:p>
            <w:pPr>
              <w:pStyle w:val="null3"/>
            </w:pPr>
            <w:r>
              <w:rPr>
                <w:sz w:val="21"/>
                <w:b/>
              </w:rPr>
              <w:t>（一）</w:t>
            </w:r>
            <w:r>
              <w:rPr>
                <w:sz w:val="21"/>
                <w:b/>
              </w:rPr>
              <w:t>用途：</w:t>
            </w:r>
          </w:p>
          <w:p>
            <w:pPr>
              <w:pStyle w:val="null3"/>
            </w:pPr>
            <w:r>
              <w:rPr>
                <w:sz w:val="21"/>
              </w:rPr>
              <w:t>适用范围同时覆盖</w:t>
            </w:r>
            <w:r>
              <w:rPr>
                <w:sz w:val="21"/>
              </w:rPr>
              <w:t>DNA和RNA基因测序，可用于临床诊断</w:t>
            </w:r>
            <w:r>
              <w:rPr>
                <w:sz w:val="21"/>
              </w:rPr>
              <w:t>。</w:t>
            </w:r>
          </w:p>
          <w:p>
            <w:pPr>
              <w:pStyle w:val="null3"/>
            </w:pPr>
            <w:r>
              <w:rPr>
                <w:sz w:val="21"/>
                <w:b/>
              </w:rPr>
              <w:t>（二）</w:t>
            </w:r>
            <w:r>
              <w:rPr>
                <w:sz w:val="21"/>
                <w:b/>
              </w:rPr>
              <w:t>技术及功能配置要求：</w:t>
            </w:r>
          </w:p>
          <w:p>
            <w:pPr>
              <w:pStyle w:val="null3"/>
              <w:jc w:val="both"/>
            </w:pPr>
            <w:r>
              <w:rPr>
                <w:sz w:val="21"/>
              </w:rPr>
              <w:t>▲</w:t>
            </w:r>
            <w:r>
              <w:rPr>
                <w:sz w:val="21"/>
              </w:rPr>
              <w:t>1.测序仪</w:t>
            </w:r>
            <w:r>
              <w:rPr>
                <w:sz w:val="21"/>
              </w:rPr>
              <w:t>的</w:t>
            </w:r>
            <w:r>
              <w:rPr>
                <w:sz w:val="21"/>
              </w:rPr>
              <w:t>适用范围同时覆盖</w:t>
            </w:r>
            <w:r>
              <w:rPr>
                <w:sz w:val="21"/>
              </w:rPr>
              <w:t>DNA和RNA基因测序，可用于临床诊断；</w:t>
            </w:r>
          </w:p>
          <w:p>
            <w:pPr>
              <w:pStyle w:val="null3"/>
              <w:jc w:val="both"/>
            </w:pPr>
            <w:r>
              <w:rPr>
                <w:sz w:val="21"/>
              </w:rPr>
              <w:t>▲</w:t>
            </w:r>
            <w:r>
              <w:rPr>
                <w:sz w:val="21"/>
              </w:rPr>
              <w:t>2.自样品放入基因测序仪后，始终以原始序列为模板进行线性扩增，避免指数PCR扩增错误积累；</w:t>
            </w:r>
          </w:p>
          <w:p>
            <w:pPr>
              <w:pStyle w:val="null3"/>
              <w:jc w:val="both"/>
            </w:pPr>
            <w:r>
              <w:rPr>
                <w:sz w:val="21"/>
              </w:rPr>
              <w:t>▲</w:t>
            </w:r>
            <w:r>
              <w:rPr>
                <w:sz w:val="21"/>
              </w:rPr>
              <w:t>3.支持不少于2种不同通量规格的测序载片、芯片或等效耗材，其中最高通量规格单次运行可产生不少于2000M有效序列；</w:t>
            </w:r>
          </w:p>
          <w:p>
            <w:pPr>
              <w:pStyle w:val="null3"/>
              <w:jc w:val="both"/>
            </w:pPr>
            <w:r>
              <w:rPr>
                <w:sz w:val="21"/>
              </w:rPr>
              <w:t>4.单个测序载片应具有不少于2个独立流道或分区，或整机具备不少于2个独立测序单元，可同时开展不同样本或项目的测序；</w:t>
            </w:r>
          </w:p>
          <w:p>
            <w:pPr>
              <w:pStyle w:val="null3"/>
              <w:jc w:val="both"/>
            </w:pPr>
            <w:r>
              <w:rPr>
                <w:sz w:val="21"/>
              </w:rPr>
              <w:t>5.支持单端和双端测序，读长至少覆盖SE50、SE100和PE150；</w:t>
            </w:r>
          </w:p>
          <w:p>
            <w:pPr>
              <w:pStyle w:val="null3"/>
              <w:jc w:val="both"/>
            </w:pPr>
            <w:r>
              <w:rPr>
                <w:sz w:val="21"/>
              </w:rPr>
              <w:t>▲</w:t>
            </w:r>
            <w:r>
              <w:rPr>
                <w:sz w:val="21"/>
              </w:rPr>
              <w:t>6.配置双测序单元或等效设计，支持单载片、双载片及不同规格载片组合运行，两个测序单元可独立运行并支持滚动上机；</w:t>
            </w:r>
          </w:p>
          <w:p>
            <w:pPr>
              <w:pStyle w:val="null3"/>
              <w:jc w:val="both"/>
            </w:pPr>
            <w:r>
              <w:rPr>
                <w:sz w:val="21"/>
              </w:rPr>
              <w:t>7.测序自动化:仪器高度自动化，无需配备扩增设备，加载设备等在仪器主机中可直接加载样本，扩增和测序；</w:t>
            </w:r>
          </w:p>
          <w:p>
            <w:pPr>
              <w:pStyle w:val="null3"/>
              <w:jc w:val="both"/>
            </w:pPr>
            <w:r>
              <w:rPr>
                <w:sz w:val="21"/>
              </w:rPr>
              <w:t>▲</w:t>
            </w:r>
            <w:r>
              <w:rPr>
                <w:sz w:val="21"/>
              </w:rPr>
              <w:t>8.PE150模式下，从样本加载至完成数据输出最快不超过20小时，SE100模式下，从样本加载至完成数据输出不超过7.5小时；</w:t>
            </w:r>
          </w:p>
          <w:p>
            <w:pPr>
              <w:pStyle w:val="null3"/>
              <w:jc w:val="both"/>
            </w:pPr>
            <w:r>
              <w:rPr>
                <w:sz w:val="21"/>
              </w:rPr>
              <w:t>9.SE50、SE100和PE150模式下，测序数据Q40比例不低于90%，或提供达到同等准确度的质量证明</w:t>
            </w:r>
            <w:r>
              <w:rPr>
                <w:sz w:val="21"/>
              </w:rPr>
              <w:t>材料</w:t>
            </w:r>
            <w:r>
              <w:rPr>
                <w:sz w:val="21"/>
              </w:rPr>
              <w:t>并加盖投标人公章</w:t>
            </w:r>
            <w:r>
              <w:rPr>
                <w:sz w:val="21"/>
              </w:rPr>
              <w:t>；</w:t>
            </w:r>
          </w:p>
          <w:p>
            <w:pPr>
              <w:pStyle w:val="null3"/>
              <w:jc w:val="both"/>
            </w:pPr>
            <w:r>
              <w:rPr>
                <w:sz w:val="21"/>
              </w:rPr>
              <w:t>10.配置触摸屏或一体化操作终端，测序控制软件支持中文操作界面；</w:t>
            </w:r>
          </w:p>
          <w:p>
            <w:pPr>
              <w:pStyle w:val="null3"/>
              <w:jc w:val="both"/>
            </w:pPr>
            <w:r>
              <w:rPr>
                <w:sz w:val="21"/>
              </w:rPr>
              <w:t>11.测序过程中可同步完成信号处理、碱基识别和质量控制，并输出带质量评分的标准测序数据；</w:t>
            </w:r>
          </w:p>
          <w:p>
            <w:pPr>
              <w:pStyle w:val="null3"/>
              <w:jc w:val="both"/>
            </w:pPr>
            <w:r>
              <w:rPr>
                <w:sz w:val="21"/>
              </w:rPr>
              <w:t>12.支持高精度样本标签识别，单标签长度不少于9 bp，或采用具有同等识别能力的双标签方案；</w:t>
            </w:r>
          </w:p>
          <w:p>
            <w:pPr>
              <w:pStyle w:val="null3"/>
              <w:jc w:val="both"/>
            </w:pPr>
            <w:r>
              <w:rPr>
                <w:sz w:val="21"/>
              </w:rPr>
              <w:t>13.测序结束后可自动完成清洗，或采用免清洗、一次性流路等设计；</w:t>
            </w:r>
          </w:p>
          <w:p>
            <w:pPr>
              <w:pStyle w:val="null3"/>
              <w:jc w:val="both"/>
            </w:pPr>
            <w:r>
              <w:rPr>
                <w:sz w:val="21"/>
              </w:rPr>
              <w:t>▲</w:t>
            </w:r>
            <w:r>
              <w:rPr>
                <w:sz w:val="21"/>
              </w:rPr>
              <w:t>14.自动化与集成化：具备成熟完备的测序全流程自动化整合方案，测序平台可实现与文库制备系统、数据分析系统等智能对接集成，全流程无人工跨设备转运，支持样本编号、文库浓度、样本类型、运行时间、下机数据量等信息自动化传递，无需人工填写，提供方案及案例证明</w:t>
            </w:r>
            <w:r>
              <w:rPr>
                <w:sz w:val="21"/>
              </w:rPr>
              <w:t>材料</w:t>
            </w:r>
            <w:r>
              <w:rPr>
                <w:sz w:val="21"/>
              </w:rPr>
              <w:t>并加盖投标人公章</w:t>
            </w:r>
            <w:r>
              <w:rPr>
                <w:sz w:val="21"/>
              </w:rPr>
              <w:t>。</w:t>
            </w:r>
          </w:p>
          <w:p>
            <w:pPr>
              <w:pStyle w:val="null3"/>
            </w:pPr>
            <w:r>
              <w:rPr>
                <w:sz w:val="21"/>
              </w:rPr>
              <w:t>15.配置清单</w:t>
            </w:r>
            <w:r>
              <w:rPr>
                <w:sz w:val="21"/>
              </w:rPr>
              <w:t>（</w:t>
            </w:r>
            <w:r>
              <w:rPr>
                <w:sz w:val="21"/>
              </w:rPr>
              <w:t>本</w:t>
            </w:r>
            <w:r>
              <w:rPr>
                <w:sz w:val="21"/>
              </w:rPr>
              <w:t>项</w:t>
            </w:r>
            <w:r>
              <w:rPr>
                <w:sz w:val="21"/>
              </w:rPr>
              <w:t>以</w:t>
            </w:r>
            <w:r>
              <w:rPr>
                <w:sz w:val="21"/>
              </w:rPr>
              <w:t>1</w:t>
            </w:r>
            <w:r>
              <w:rPr>
                <w:sz w:val="21"/>
              </w:rPr>
              <w:t>项</w:t>
            </w:r>
            <w:r>
              <w:rPr>
                <w:sz w:val="21"/>
              </w:rPr>
              <w:t>一般技术</w:t>
            </w:r>
            <w:r>
              <w:rPr>
                <w:sz w:val="21"/>
              </w:rPr>
              <w:t>要求</w:t>
            </w:r>
            <w:r>
              <w:rPr>
                <w:sz w:val="21"/>
              </w:rPr>
              <w:t>计算</w:t>
            </w:r>
            <w:r>
              <w:rPr>
                <w:sz w:val="21"/>
              </w:rPr>
              <w:t>）</w:t>
            </w:r>
            <w:r>
              <w:rPr>
                <w:sz w:val="21"/>
              </w:rPr>
              <w:t>：</w:t>
            </w:r>
          </w:p>
          <w:tbl>
            <w:tblPr>
              <w:tblBorders>
                <w:top w:val="none" w:color="000000" w:sz="4"/>
                <w:left w:val="none" w:color="000000" w:sz="4"/>
                <w:bottom w:val="none" w:color="000000" w:sz="4"/>
                <w:right w:val="none" w:color="000000" w:sz="4"/>
                <w:insideH w:val="none"/>
                <w:insideV w:val="none"/>
              </w:tblBorders>
            </w:tblPr>
            <w:tblGrid>
              <w:gridCol w:w="610"/>
              <w:gridCol w:w="3311"/>
              <w:gridCol w:w="860"/>
              <w:gridCol w:w="817"/>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基因测序仪主机</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清洗试剂槽（空）</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2.2mL 96孔方形孔V形底深孔板</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块</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PCR位置学习夹具</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96孔板位置学习夹具</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清洗池位置学习夹具</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样品管位置学习夹具</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试剂针高度定位夹具</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芯片位置学习夹具</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0.5m</w:t>
                  </w:r>
                  <w:r>
                    <w:rPr>
                      <w:sz w:val="21"/>
                    </w:rPr>
                    <w:t>L 冻存管</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8联排PCR管0.2mL</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w:t>
                  </w:r>
                  <w:r>
                    <w:rPr>
                      <w:sz w:val="21"/>
                    </w:rPr>
                    <w:t>6TPU管</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键鼠套装</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清洗载片</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废液桶</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bl>
          <w:p>
            <w:pPr>
              <w:pStyle w:val="null3"/>
              <w:jc w:val="both"/>
            </w:pPr>
            <w:r>
              <w:rPr>
                <w:sz w:val="21"/>
                <w:b/>
              </w:rPr>
              <w:t>二、全自动数据分析管理系统设备</w:t>
            </w:r>
          </w:p>
          <w:p>
            <w:pPr>
              <w:pStyle w:val="null3"/>
            </w:pPr>
            <w:r>
              <w:rPr>
                <w:sz w:val="21"/>
                <w:b/>
              </w:rPr>
              <w:t>（一）</w:t>
            </w:r>
            <w:r>
              <w:rPr>
                <w:sz w:val="21"/>
                <w:b/>
              </w:rPr>
              <w:t>用途：</w:t>
            </w:r>
          </w:p>
          <w:p>
            <w:pPr>
              <w:pStyle w:val="null3"/>
            </w:pPr>
            <w:r>
              <w:rPr>
                <w:sz w:val="21"/>
              </w:rPr>
              <w:t>与测序仪直连，直接读取测序原始数据，实现报告的全自动化输出及全流程信息化可视化管理</w:t>
            </w:r>
            <w:r>
              <w:rPr>
                <w:sz w:val="21"/>
              </w:rPr>
              <w:t>。</w:t>
            </w:r>
          </w:p>
          <w:p>
            <w:pPr>
              <w:pStyle w:val="null3"/>
            </w:pPr>
            <w:r>
              <w:rPr>
                <w:sz w:val="21"/>
                <w:b/>
              </w:rPr>
              <w:t>（</w:t>
            </w:r>
            <w:r>
              <w:rPr>
                <w:sz w:val="21"/>
                <w:b/>
              </w:rPr>
              <w:t>二</w:t>
            </w:r>
            <w:r>
              <w:rPr>
                <w:sz w:val="21"/>
                <w:b/>
              </w:rPr>
              <w:t>）</w:t>
            </w:r>
            <w:r>
              <w:rPr>
                <w:sz w:val="21"/>
                <w:b/>
              </w:rPr>
              <w:t>技术及功能配置要求：</w:t>
            </w:r>
          </w:p>
          <w:p>
            <w:pPr>
              <w:pStyle w:val="null3"/>
              <w:jc w:val="both"/>
            </w:pPr>
            <w:r>
              <w:rPr>
                <w:sz w:val="21"/>
              </w:rPr>
              <w:t>1.数据分析系统可与测序仪直连，直接读取测序原始数据，实现报告的全自动化输出，并可实现全流程信息化可视化管理；</w:t>
            </w:r>
          </w:p>
          <w:p>
            <w:pPr>
              <w:pStyle w:val="null3"/>
              <w:jc w:val="left"/>
            </w:pPr>
            <w:r>
              <w:rPr>
                <w:sz w:val="21"/>
              </w:rPr>
              <w:t>▲</w:t>
            </w:r>
            <w:r>
              <w:rPr>
                <w:sz w:val="21"/>
              </w:rPr>
              <w:t>2.采用稳定可靠的硬件配置，服务器配置</w:t>
            </w:r>
            <w:r>
              <w:rPr>
                <w:sz w:val="21"/>
              </w:rPr>
              <w:t>不少于</w:t>
            </w:r>
            <w:r>
              <w:rPr>
                <w:sz w:val="21"/>
              </w:rPr>
              <w:t>512 GB内存，配备高性能GPU，显存不小于32 GB，AI 算力不小于</w:t>
            </w:r>
            <w:r>
              <w:rPr>
                <w:sz w:val="21"/>
              </w:rPr>
              <w:t>3,300 TOPS</w:t>
            </w:r>
            <w:r>
              <w:rPr>
                <w:sz w:val="21"/>
              </w:rPr>
              <w:t>，并配置满足数据分析需求的高速存储空间，</w:t>
            </w:r>
            <w:r>
              <w:rPr>
                <w:sz w:val="21"/>
              </w:rPr>
              <w:t>内置本地大语言模型，无需连接外网即可提供本地</w:t>
            </w:r>
            <w:r>
              <w:rPr>
                <w:sz w:val="21"/>
              </w:rPr>
              <w:t>AI推理服务，可实现</w:t>
            </w:r>
            <w:r>
              <w:rPr>
                <w:sz w:val="21"/>
              </w:rPr>
              <w:t>肿瘤患者数据清洗、多来源数据整合和多模态智能分析</w:t>
            </w:r>
            <w:r>
              <w:rPr>
                <w:sz w:val="21"/>
              </w:rPr>
              <w:t>等功能</w:t>
            </w:r>
            <w:r>
              <w:rPr>
                <w:sz w:val="21"/>
              </w:rPr>
              <w:t>；</w:t>
            </w:r>
          </w:p>
          <w:p>
            <w:pPr>
              <w:pStyle w:val="null3"/>
              <w:jc w:val="both"/>
            </w:pPr>
            <w:r>
              <w:rPr>
                <w:sz w:val="21"/>
              </w:rPr>
              <w:t>▲</w:t>
            </w:r>
            <w:r>
              <w:rPr>
                <w:sz w:val="21"/>
              </w:rPr>
              <w:t>3.内置数据分析软件需具备II类</w:t>
            </w:r>
            <w:r>
              <w:rPr>
                <w:sz w:val="21"/>
              </w:rPr>
              <w:t>医疗器械</w:t>
            </w:r>
            <w:r>
              <w:rPr>
                <w:sz w:val="21"/>
              </w:rPr>
              <w:t>注册证，一台数据分析系统上需同时具备不少于</w:t>
            </w:r>
            <w:r>
              <w:rPr>
                <w:sz w:val="21"/>
              </w:rPr>
              <w:t>2款肿瘤和1款病原项目分析功能，提供</w:t>
            </w:r>
            <w:r>
              <w:rPr>
                <w:sz w:val="21"/>
              </w:rPr>
              <w:t>有效期内</w:t>
            </w:r>
            <w:r>
              <w:rPr>
                <w:sz w:val="21"/>
              </w:rPr>
              <w:t>的</w:t>
            </w:r>
            <w:r>
              <w:rPr>
                <w:sz w:val="21"/>
              </w:rPr>
              <w:t>医疗器械</w:t>
            </w:r>
            <w:r>
              <w:rPr>
                <w:sz w:val="21"/>
              </w:rPr>
              <w:t>注册证和系统运行界面</w:t>
            </w:r>
            <w:r>
              <w:rPr>
                <w:sz w:val="21"/>
              </w:rPr>
              <w:t>截图</w:t>
            </w:r>
            <w:r>
              <w:rPr>
                <w:sz w:val="21"/>
              </w:rPr>
              <w:t>证明</w:t>
            </w:r>
            <w:r>
              <w:rPr>
                <w:sz w:val="21"/>
              </w:rPr>
              <w:t>材料</w:t>
            </w:r>
            <w:r>
              <w:rPr>
                <w:sz w:val="21"/>
              </w:rPr>
              <w:t>并加盖投标人公章</w:t>
            </w:r>
            <w:r>
              <w:rPr>
                <w:sz w:val="21"/>
              </w:rPr>
              <w:t>；</w:t>
            </w:r>
          </w:p>
          <w:p>
            <w:pPr>
              <w:pStyle w:val="null3"/>
              <w:jc w:val="both"/>
            </w:pPr>
            <w:r>
              <w:rPr>
                <w:sz w:val="21"/>
              </w:rPr>
              <w:t>▲</w:t>
            </w:r>
            <w:r>
              <w:rPr>
                <w:sz w:val="21"/>
              </w:rPr>
              <w:t>4.系统符合GB/T 25000.51-2016的法规要求，可离线运行，保证数据安全，须具备多测序平台兼容功能；</w:t>
            </w:r>
          </w:p>
          <w:p>
            <w:pPr>
              <w:pStyle w:val="null3"/>
              <w:jc w:val="both"/>
            </w:pPr>
            <w:r>
              <w:rPr>
                <w:sz w:val="21"/>
              </w:rPr>
              <w:t>▲</w:t>
            </w:r>
            <w:r>
              <w:rPr>
                <w:sz w:val="21"/>
              </w:rPr>
              <w:t>5.具备智能数据管理与挖掘模块，须具备多测序平台兼容功能，兼容不少于2种不同品牌测序平台数据，支持通过Excel或系统接口标准化导入NGS检测数据，包含并不少于样本的突变、TMB、MSI、质控等信息，兼容肿瘤用药和MRD应用的分析数据；</w:t>
            </w:r>
          </w:p>
          <w:p>
            <w:pPr>
              <w:pStyle w:val="null3"/>
              <w:jc w:val="both"/>
            </w:pPr>
            <w:r>
              <w:rPr>
                <w:sz w:val="21"/>
              </w:rPr>
              <w:t>▲</w:t>
            </w:r>
            <w:r>
              <w:rPr>
                <w:sz w:val="21"/>
              </w:rPr>
              <w:t>6.具备探针管理模块，具有基因位点筛选、探针信息管理及标准化定制下单功能，能满足个性化MRD检测等临床应用的探针定制管理需求，提供系统运行界面</w:t>
            </w:r>
            <w:r>
              <w:rPr>
                <w:sz w:val="21"/>
              </w:rPr>
              <w:t>截图</w:t>
            </w:r>
            <w:r>
              <w:rPr>
                <w:sz w:val="21"/>
              </w:rPr>
              <w:t>证明</w:t>
            </w:r>
            <w:r>
              <w:rPr>
                <w:sz w:val="21"/>
              </w:rPr>
              <w:t>材料</w:t>
            </w:r>
            <w:r>
              <w:rPr>
                <w:sz w:val="21"/>
              </w:rPr>
              <w:t>并加盖投标人公章</w:t>
            </w:r>
            <w:r>
              <w:rPr>
                <w:sz w:val="21"/>
              </w:rPr>
              <w:t>；</w:t>
            </w:r>
          </w:p>
          <w:p>
            <w:pPr>
              <w:pStyle w:val="null3"/>
              <w:jc w:val="both"/>
            </w:pPr>
            <w:r>
              <w:rPr>
                <w:sz w:val="21"/>
              </w:rPr>
              <w:t>▲</w:t>
            </w:r>
            <w:r>
              <w:rPr>
                <w:sz w:val="21"/>
              </w:rPr>
              <w:t>7.具备自主知识产权的个性化探针MRD血浆检测算法，针对肺癌有专属应用设计，且内置方法支撑专利不少于6个</w:t>
            </w:r>
            <w:r>
              <w:rPr>
                <w:sz w:val="21"/>
              </w:rPr>
              <w:t>，</w:t>
            </w:r>
            <w:r>
              <w:rPr>
                <w:sz w:val="21"/>
              </w:rPr>
              <w:t>提供</w:t>
            </w:r>
            <w:r>
              <w:rPr>
                <w:sz w:val="21"/>
              </w:rPr>
              <w:t>专利</w:t>
            </w:r>
            <w:r>
              <w:rPr>
                <w:sz w:val="21"/>
              </w:rPr>
              <w:t>证书</w:t>
            </w:r>
            <w:r>
              <w:rPr>
                <w:sz w:val="21"/>
              </w:rPr>
              <w:t>扫描件</w:t>
            </w:r>
            <w:r>
              <w:rPr>
                <w:sz w:val="21"/>
              </w:rPr>
              <w:t>并</w:t>
            </w:r>
            <w:r>
              <w:rPr>
                <w:sz w:val="21"/>
              </w:rPr>
              <w:t>加盖</w:t>
            </w:r>
            <w:r>
              <w:rPr>
                <w:sz w:val="21"/>
              </w:rPr>
              <w:t>投标人</w:t>
            </w:r>
            <w:r>
              <w:rPr>
                <w:sz w:val="21"/>
              </w:rPr>
              <w:t>公章</w:t>
            </w:r>
            <w:r>
              <w:rPr>
                <w:sz w:val="21"/>
              </w:rPr>
              <w:t>；</w:t>
            </w:r>
          </w:p>
          <w:p>
            <w:pPr>
              <w:pStyle w:val="null3"/>
              <w:jc w:val="both"/>
            </w:pPr>
            <w:r>
              <w:rPr>
                <w:sz w:val="21"/>
              </w:rPr>
              <w:t>▲</w:t>
            </w:r>
            <w:r>
              <w:rPr>
                <w:sz w:val="21"/>
              </w:rPr>
              <w:t>8.具备多模态数据管理功能，支持肿瘤患者病历中临床、病理、影像、分子、随访等多维信息和IHC、FISH、NGS等多维检验数据的多时间点整合，可自动生成标志物检测矩阵总览、实现肿瘤个体多维度的动态表征，提供系统运行界面</w:t>
            </w:r>
            <w:r>
              <w:rPr>
                <w:sz w:val="21"/>
              </w:rPr>
              <w:t>截图</w:t>
            </w:r>
            <w:r>
              <w:rPr>
                <w:sz w:val="21"/>
              </w:rPr>
              <w:t>证明</w:t>
            </w:r>
            <w:r>
              <w:rPr>
                <w:sz w:val="21"/>
              </w:rPr>
              <w:t>材料</w:t>
            </w:r>
            <w:r>
              <w:rPr>
                <w:sz w:val="21"/>
              </w:rPr>
              <w:t>并加盖投标人公章</w:t>
            </w:r>
            <w:r>
              <w:rPr>
                <w:sz w:val="21"/>
              </w:rPr>
              <w:t>；</w:t>
            </w:r>
          </w:p>
          <w:p>
            <w:pPr>
              <w:pStyle w:val="null3"/>
              <w:jc w:val="both"/>
            </w:pPr>
            <w:r>
              <w:rPr>
                <w:sz w:val="21"/>
              </w:rPr>
              <w:t>▲</w:t>
            </w:r>
            <w:r>
              <w:rPr>
                <w:sz w:val="21"/>
              </w:rPr>
              <w:t>9.</w:t>
            </w:r>
            <w:r>
              <w:rPr>
                <w:sz w:val="21"/>
              </w:rPr>
              <w:t>具备多模态数据分析工具，结合肿瘤个体多维数据，支持肿瘤患者疗效预测或预后评估等临床场景的智能结果推理，实现数据进结果出；</w:t>
            </w:r>
          </w:p>
          <w:p>
            <w:pPr>
              <w:pStyle w:val="null3"/>
              <w:jc w:val="both"/>
            </w:pPr>
            <w:r>
              <w:rPr>
                <w:sz w:val="21"/>
              </w:rPr>
              <w:t>10.支持与科室LIS信息系统对接，实现患者临床信息与分子病理数据的自动整合，提供系统运行界面</w:t>
            </w:r>
            <w:r>
              <w:rPr>
                <w:sz w:val="21"/>
              </w:rPr>
              <w:t>截图</w:t>
            </w:r>
            <w:r>
              <w:rPr>
                <w:sz w:val="21"/>
              </w:rPr>
              <w:t>证明</w:t>
            </w:r>
            <w:r>
              <w:rPr>
                <w:sz w:val="21"/>
              </w:rPr>
              <w:t>材料</w:t>
            </w:r>
            <w:r>
              <w:rPr>
                <w:sz w:val="21"/>
              </w:rPr>
              <w:t>并加盖</w:t>
            </w:r>
            <w:r>
              <w:rPr>
                <w:sz w:val="21"/>
              </w:rPr>
              <w:t>投标人</w:t>
            </w:r>
            <w:r>
              <w:rPr>
                <w:sz w:val="21"/>
              </w:rPr>
              <w:t>公章</w:t>
            </w:r>
            <w:r>
              <w:rPr>
                <w:sz w:val="21"/>
              </w:rPr>
              <w:t>；</w:t>
            </w:r>
          </w:p>
          <w:p>
            <w:pPr>
              <w:pStyle w:val="null3"/>
              <w:jc w:val="both"/>
            </w:pPr>
            <w:r>
              <w:rPr>
                <w:sz w:val="21"/>
              </w:rPr>
              <w:t>11.设备应采用桌面式或其他适合实验室部署的结构形式，可放置于普通实验台面，以节省实验室空间。</w:t>
            </w:r>
          </w:p>
          <w:p>
            <w:pPr>
              <w:pStyle w:val="null3"/>
            </w:pPr>
            <w:r>
              <w:rPr>
                <w:sz w:val="21"/>
              </w:rPr>
              <w:t>12.配置清单</w:t>
            </w:r>
            <w:r>
              <w:rPr>
                <w:sz w:val="21"/>
              </w:rPr>
              <w:t>（本项</w:t>
            </w:r>
            <w:r>
              <w:rPr>
                <w:sz w:val="21"/>
              </w:rPr>
              <w:t>以</w:t>
            </w:r>
            <w:r>
              <w:rPr>
                <w:sz w:val="21"/>
              </w:rPr>
              <w:t>1项一般技术</w:t>
            </w:r>
            <w:r>
              <w:rPr>
                <w:sz w:val="21"/>
              </w:rPr>
              <w:t>要求</w:t>
            </w:r>
            <w:r>
              <w:rPr>
                <w:sz w:val="21"/>
              </w:rPr>
              <w:t>计算）</w:t>
            </w:r>
            <w:r>
              <w:rPr>
                <w:sz w:val="21"/>
              </w:rPr>
              <w:t>：</w:t>
            </w:r>
          </w:p>
          <w:tbl>
            <w:tblPr>
              <w:tblBorders>
                <w:top w:val="none" w:color="000000" w:sz="4"/>
                <w:left w:val="none" w:color="000000" w:sz="4"/>
                <w:bottom w:val="none" w:color="000000" w:sz="4"/>
                <w:right w:val="none" w:color="000000" w:sz="4"/>
                <w:insideH w:val="none"/>
                <w:insideV w:val="none"/>
              </w:tblBorders>
            </w:tblPr>
            <w:tblGrid>
              <w:gridCol w:w="617"/>
              <w:gridCol w:w="3428"/>
              <w:gridCol w:w="722"/>
              <w:gridCol w:w="830"/>
            </w:tblGrid>
            <w:tr>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全自动数据分析管理系统设备</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全自动数据分析管理系统设备</w:t>
                  </w:r>
                  <w:r>
                    <w:rPr>
                      <w:sz w:val="21"/>
                    </w:rPr>
                    <w:t>电源线</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USB扩展线</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网线</w:t>
                  </w:r>
                  <w:r>
                    <w:rPr>
                      <w:sz w:val="21"/>
                    </w:rPr>
                    <w:t>×</w:t>
                  </w:r>
                  <w:r>
                    <w:rPr>
                      <w:sz w:val="21"/>
                    </w:rPr>
                    <w:t>5m</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广州医科大学附属第一医院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采购机构代理服务收费标准：1.本次招标向各采购包中标人收取招标代理服务费。 2.参照国家发展计划委员会颁布的计价格﹝2002﹞1980号《招标代理服务收费管理暂行办法》的货物招标代理服务收费标准差额定率累进法执行。 3.应以银行转账方式向采购代理机构直接缴纳招标代理服务费，付至采购代理机构发出的《领取中标通知书》通知的账号。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其他，1、资金来源，财政资金（医院资金），本项目属于政府采购项目。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中国采购与招标网（http://www.chinabidding.com.cn/）,中国财经报网（http://www.cfen.com.cn/），广东信诚招标代理咨询有限公司（http://www.gdxczb.cn/）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中国采购与招标网（http://www.chinabidding.com.cn/）,中国财经报网（http://www.cfen.com.cn/），广东信诚招标代理咨询有限公司（http://www.gdxczb.cn/）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gdxc@gdxczb.cn</w:t>
      </w:r>
    </w:p>
    <w:p>
      <w:pPr>
        <w:pStyle w:val="null3"/>
        <w:ind w:firstLine="480"/>
      </w:pPr>
      <w:r>
        <w:rPr/>
        <w:t>地址：</w:t>
      </w:r>
      <w:r>
        <w:rPr/>
        <w:t>广州市越秀区德政北路538号17楼1708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采购包1(临床检验设备)：综合评分法,是指投标文件满足招标文件全部实质性要求，且按照评审因素的量化指标评审得分最高的投标人为中标候选人的评标方法。（最低报价不是中标的唯一依据。）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采购包1（临床检验设备）：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采购包1（临床检验设备）：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定）或提供以下资料：提供投标文件提交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定）或提供2024年度或2025年度的财务状况报告或基本开户行出具的资信证明或财政部门认可的政府采购专业担保机构出具的担保函,成立不足一年的单位可以提供响应文件提交截止前上一季度或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 失信被执行人；② 重大税收违法失信主体；③ 政府采购严重违法失信行为记录名单。同时，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项目提供整体设计、规范编制或者项目管理、监理、检测等服务的供应商，不得再参与本项目投标（响应）。按照投标（报价）函相关承诺要求内容执行。</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如投标人为所投产品的生产企业：所投产品为第二类、三类医疗器械，提供药品监督管理部门签发的有效的《医疗器械生产许可证》复印件。如投标人为所投产品的经营企业：所投产品为第三类医疗器械，提供药品监督管理部门签发的有效的《医疗器械经营许可证》复印件。（如投标人所在地实施“一照通行”相关政策，其医疗器械经营许可证以二维码形式集中反映在营业执照上的，应提供扫描二维码后反映的有效许可事项信息截图）</w:t>
            </w:r>
          </w:p>
        </w:tc>
      </w:tr>
      <w:tr>
        <w:tc>
          <w:tcPr>
            <w:tcW w:type="dxa" w:w="890"/>
          </w:tcPr>
          <w:p>
            <w:pPr>
              <w:pStyle w:val="null3"/>
            </w:pPr>
            <w:r>
              <w:rPr/>
              <w:t>9</w:t>
            </w:r>
          </w:p>
        </w:tc>
        <w:tc>
          <w:tcPr>
            <w:tcW w:type="dxa" w:w="3178"/>
          </w:tcPr>
          <w:p>
            <w:pPr>
              <w:pStyle w:val="null3"/>
            </w:pPr>
            <w:r>
              <w:rPr/>
              <w:t>供应商应当具备的其他资格条件</w:t>
            </w:r>
          </w:p>
        </w:tc>
        <w:tc>
          <w:tcPr>
            <w:tcW w:type="dxa" w:w="4238"/>
          </w:tcPr>
          <w:p>
            <w:pPr>
              <w:pStyle w:val="null3"/>
            </w:pPr>
            <w:r>
              <w:rPr/>
              <w:t>所投产品属于第二类、第三类医疗器械，则必须提供药品监督管理部门签发的有效的《医疗器械注册证》复印件。（提供证书复印件并加盖投标人公章） 注：若所投产品并非医疗器械，则无须提供上述资料。</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中小企业以供应商填写的《中小企业声明函(货物)》（见招标文件格式）为判定标准，残疾人福利性单位以供应商提供的《残疾人福利性单位声明函》(见招标文件格式)为判定标准，监狱企业须提供由省级以上监狱管理局、戒毒管理局(含新疆生产建设兵团)出具的属于监狱企业的证明文件。本项目的中小企业划分标准所属行业为：工业。</w:t>
            </w:r>
          </w:p>
        </w:tc>
      </w:tr>
    </w:tbl>
    <w:p>
      <w:pPr>
        <w:pStyle w:val="null3"/>
        <w:ind w:firstLine="480"/>
      </w:pPr>
      <w:r>
        <w:rPr/>
        <w:t>表二符合性审查表：</w:t>
      </w:r>
    </w:p>
    <w:p>
      <w:pPr>
        <w:pStyle w:val="null3"/>
      </w:pPr>
      <w:r>
        <w:rPr/>
        <w:t>采购包1（临床检验设备）：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供应商报价确定或未超过采购文件中列出的采购预算（最高限价）的情形。</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投标文件中没有法律法规和招标文件规定的其他无效情形。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采购包1(临床检验设备):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(40.0分)</w:t>
            </w:r>
          </w:p>
        </w:tc>
        <w:tc>
          <w:tcPr>
            <w:tcW w:type="dxa" w:w="5076"/>
          </w:tcPr>
          <w:p>
            <w:pPr>
              <w:pStyle w:val="null3"/>
              <w:jc w:val="left"/>
            </w:pPr>
            <w:r>
              <w:rPr/>
              <w:t>根据各投标人所投产品对《第二章 采购需求》中“2.技术标准与要求”的“（二）技术及功能配置要求”对应响应情况进行综合评审： 1.对带“▲”号条款（共14项）响应进行评审，每满足一项“▲”号，得2.5分，满分35分。 2.对13项一般条款（“▲”“★”除外）的技术要求进行逐一响应，本小项共5分； （1）全部满足或优于，得5分； （2）1项≤不响应或负偏离的数量＜3项的，得3分； （3）3项≤不响应或负偏离的数量＜6项的，得2分； （4）6项≤不响应或负偏离的数量＜9项的，得1分； （5）不响应或负偏离的数量≥9项的，不得分。 （6）注：①如采购需求中有明确要求提供的证明资料，则以采购需求中要求的为准；如采购需求中无明确要求证明材料的，则需提供清晰可辨的货物制造商公开发布的印刷资料或产品说明书或相应技术参数的厂家证明资料（如厂家的产品使用说明书为英文版，请同时提供中文版），加盖投标人公章作为证明材料；无或未按要求提供证明材料的不得分。 ②得分按四舍五入的原则保留至小数点后两位。 ③以设备技术要求序号最细的（如1.1与1.1.1之间，1.1.1为最细序号）作为一项参数，以计算技术参数响应数量。</w:t>
            </w:r>
          </w:p>
        </w:tc>
      </w:tr>
      <w:tr>
        <w:tc>
          <w:tcPr>
            <w:tcW w:type="dxa" w:w="922"/>
            <w:gridSpan w:val="2"/>
            <w:vMerge/>
          </w:tcPr>
          <w:p/>
        </w:tc>
        <w:tc>
          <w:tcPr>
            <w:tcW w:type="dxa" w:w="2307"/>
          </w:tcPr>
          <w:p>
            <w:pPr>
              <w:pStyle w:val="null3"/>
              <w:jc w:val="left"/>
            </w:pPr>
            <w:r>
              <w:rPr/>
              <w:t>供货履约方案 (5.0分)</w:t>
            </w:r>
          </w:p>
        </w:tc>
        <w:tc>
          <w:tcPr>
            <w:tcW w:type="dxa" w:w="5076"/>
          </w:tcPr>
          <w:p>
            <w:pPr>
              <w:pStyle w:val="null3"/>
              <w:jc w:val="left"/>
            </w:pPr>
            <w:r>
              <w:rPr/>
              <w:t>根据投标人提供的针对本项目供货履约方案（包括包装运输及安装调试、为验收提供的便利条件）进行评审： 1.能提供涵盖上述内容的供货履约方案，得1分； 2.需求中设备的包装运输及安装调试要求，投标人供货履约方案能提供优于设备的包装运输及安装调试要求的，得2分；能提供满足设备的包装运输及安装调试要求的，得1分；不能满足设备的包装运输及安装调试要求的不得分。 3.需求中的验收要求，投标人供货履约方案中为验收提供的便利条件满足验收需求且有更优的，得2分；能满足验收需求的，得1分；不能满足验收需求的，不得分。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根据投标人提供的针对本项目技术培训方案【包括培训目标（标准）、培训内容】进行评审： 1.能提供涵盖上述内容的技术培训方案，得1分； 2.需求中培训要求中的培训目标（标准），投标人技术培训方案能提供优于培训目标（标准）的，得2分；能提供满足培训目标（标准）的，得1分；不能满足培训目标（标准）的不得分。 3.需求中培训要求中的培训内容，投标人技术培训方案能提供优于培训内容的，得2分；能提供满足培训内容的，得1分；不能满足培训内容的，不得分。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需提供2023年1月1日（以合同落款时间为准）至今投标人承担过的同类型项目业绩，每提供一个得1分，最高为3分。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代理商、经销商出具的有效授权证明。 本项最高得3分。未提供或专家无法认定的不得分。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根据投标人提供的针对本项目售后服务方案（★号条款除外）（包括质保期内维修服务、退换货及软件升级要求、零配件供应要求）进行评审： 1.能提供涵盖上述内容的售后服务方案，得1.5分； 2.需求中售后服务要求中的质保期内维修服务内容，投标人售后服务方案能提供优于质保期内维修服务要求的，得2.5分；能提供满足质保期内维修服务要求的，得1分；不能满足质保期内维修服务要求的不得分。 3.需求中售后服务要求中的退换货及软件升级要求，投标人售后服务方案能提供优于退换货及软件升级要求的，得2.5分；能提供满足退换货及软件升级要求的，得1分；不能满足退换货及软件升级要求的，不得分。 4.需求中售后服务要求中的零配件供应要求，投标人售后服务方案能提供优于零配件供应要求的，得2.5分；能提供满足零配件供应要求的，得1分；不能满足零配件供应要求的，不得分。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rPr>
        <w:t xml:space="preserve"> </w:t>
      </w:r>
    </w:p>
    <w:p>
      <w:pPr>
        <w:pStyle w:val="null3"/>
      </w:pPr>
      <w:r>
        <w:rPr>
          <w:sz w:val="24"/>
        </w:rPr>
        <w:t>合同编号：</w:t>
      </w:r>
    </w:p>
    <w:p>
      <w:pPr>
        <w:pStyle w:val="null3"/>
        <w:jc w:val="center"/>
      </w:pPr>
      <w:r>
        <w:rPr>
          <w:sz w:val="24"/>
          <w:b/>
        </w:rPr>
        <w:t>广州市政府采购</w:t>
      </w:r>
    </w:p>
    <w:p>
      <w:pPr>
        <w:pStyle w:val="null3"/>
        <w:jc w:val="both"/>
      </w:pPr>
      <w:r>
        <w:rPr/>
        <w:t xml:space="preserve"> </w:t>
      </w:r>
    </w:p>
    <w:p>
      <w:pPr>
        <w:pStyle w:val="null3"/>
        <w:jc w:val="center"/>
      </w:pPr>
      <w:r>
        <w:rPr/>
        <w:t xml:space="preserve"> </w:t>
      </w:r>
    </w:p>
    <w:p>
      <w:pPr>
        <w:pStyle w:val="null3"/>
        <w:jc w:val="center"/>
      </w:pPr>
      <w:r>
        <w:rPr>
          <w:sz w:val="24"/>
          <w:b/>
        </w:rPr>
        <w:t>合同书</w:t>
      </w:r>
    </w:p>
    <w:p>
      <w:pPr>
        <w:pStyle w:val="null3"/>
        <w:jc w:val="both"/>
      </w:pPr>
      <w:r>
        <w:rPr>
          <w:sz w:val="24"/>
          <w:b/>
        </w:rPr>
        <w:t>采购编号：</w:t>
      </w:r>
      <w:r>
        <w:rPr>
          <w:b/>
          <w:u w:val="single"/>
        </w:rPr>
        <w:t xml:space="preserve">                           </w:t>
      </w:r>
    </w:p>
    <w:p>
      <w:pPr>
        <w:pStyle w:val="null3"/>
        <w:jc w:val="both"/>
      </w:pPr>
      <w:r>
        <w:rPr>
          <w:sz w:val="24"/>
          <w:b/>
        </w:rPr>
        <w:t>项目名称：</w:t>
      </w:r>
      <w:r>
        <w:rPr>
          <w:b/>
          <w:u w:val="single"/>
        </w:rPr>
        <w:t xml:space="preserve">                           </w:t>
      </w:r>
    </w:p>
    <w:p>
      <w:pPr>
        <w:pStyle w:val="null3"/>
        <w:jc w:val="both"/>
      </w:pPr>
      <w:r>
        <w:rPr>
          <w:sz w:val="24"/>
          <w:b/>
        </w:rPr>
        <w:t>采购包：</w:t>
      </w:r>
      <w:r>
        <w:rPr>
          <w:b/>
          <w:u w:val="single"/>
        </w:rPr>
        <w:t xml:space="preserve">                           </w:t>
      </w:r>
    </w:p>
    <w:p>
      <w:pPr>
        <w:pStyle w:val="null3"/>
        <w:jc w:val="both"/>
      </w:pPr>
      <w:r>
        <w:rPr/>
        <w:t>本合同</w:t>
      </w:r>
      <w:r>
        <w:rPr/>
        <w:t>为</w:t>
      </w:r>
      <w:r>
        <w:rPr/>
        <w:t>中小企业</w:t>
      </w:r>
      <w:r>
        <w:rPr/>
        <w:t>预留</w:t>
      </w:r>
      <w:r>
        <w:rPr/>
        <w:t>合同。</w:t>
      </w:r>
    </w:p>
    <w:p>
      <w:pPr>
        <w:pStyle w:val="null3"/>
        <w:jc w:val="center"/>
      </w:pPr>
      <w:r>
        <w:rPr/>
        <w:t xml:space="preserve"> </w:t>
      </w:r>
    </w:p>
    <w:p>
      <w:pPr>
        <w:pStyle w:val="null3"/>
        <w:jc w:val="center"/>
      </w:pPr>
      <w:r>
        <w:rPr>
          <w:sz w:val="24"/>
          <w:b/>
        </w:rPr>
        <w:t>《医疗设备采购合同》</w:t>
      </w:r>
    </w:p>
    <w:p>
      <w:pPr>
        <w:pStyle w:val="null3"/>
        <w:jc w:val="both"/>
      </w:pPr>
      <w:r>
        <w:rPr>
          <w:sz w:val="24"/>
          <w:b/>
        </w:rPr>
        <w:t>甲方：广州医科大学附属第一医院</w:t>
      </w:r>
      <w:r>
        <w:rPr>
          <w:sz w:val="24"/>
          <w:b/>
        </w:rPr>
        <w:t xml:space="preserve">                              </w:t>
      </w:r>
    </w:p>
    <w:p>
      <w:pPr>
        <w:pStyle w:val="null3"/>
        <w:jc w:val="both"/>
      </w:pPr>
      <w:r>
        <w:rPr>
          <w:sz w:val="24"/>
          <w:b/>
        </w:rPr>
        <w:t>乙方：</w:t>
      </w:r>
      <w:r>
        <w:rPr>
          <w:b/>
          <w:u w:val="single"/>
        </w:rPr>
        <w:t xml:space="preserve">                    </w:t>
      </w:r>
      <w:r>
        <w:rPr>
          <w:sz w:val="24"/>
          <w:b/>
        </w:rPr>
        <w:t>（中标人）</w:t>
      </w:r>
      <w:r>
        <w:rPr>
          <w:sz w:val="24"/>
          <w:b/>
        </w:rPr>
        <w:t xml:space="preserve">                                </w:t>
      </w:r>
    </w:p>
    <w:p>
      <w:pPr>
        <w:pStyle w:val="null3"/>
        <w:ind w:firstLine="181"/>
        <w:jc w:val="both"/>
      </w:pPr>
      <w:r>
        <w:rPr/>
        <w:t xml:space="preserve"> </w:t>
      </w:r>
    </w:p>
    <w:p>
      <w:pPr>
        <w:pStyle w:val="null3"/>
        <w:ind w:firstLine="181"/>
        <w:jc w:val="both"/>
      </w:pPr>
      <w:r>
        <w:rPr>
          <w:sz w:val="24"/>
        </w:rPr>
        <w:t>根据</w:t>
      </w:r>
      <w:r>
        <w:rPr>
          <w:sz w:val="24"/>
          <w:shd w:fill="FFFFFF" w:val="clear"/>
        </w:rPr>
        <w:t>《中华人民共和国民法典》</w:t>
      </w:r>
      <w:r>
        <w:rPr>
          <w:sz w:val="24"/>
        </w:rPr>
        <w:t>及</w:t>
      </w:r>
      <w:r>
        <w:rPr>
          <w:sz w:val="24"/>
          <w:u w:val="single"/>
        </w:rPr>
        <w:t>广东信诚招标代理咨询有限公司</w:t>
      </w:r>
      <w:r>
        <w:rPr>
          <w:sz w:val="24"/>
          <w:b/>
          <w:u w:val="single"/>
        </w:rPr>
        <w:t>（项目编号：</w:t>
      </w:r>
      <w:r>
        <w:rPr>
          <w:sz w:val="24"/>
          <w:b/>
          <w:u w:val="single"/>
        </w:rPr>
        <w:t>3587-2612GZG10810</w:t>
      </w:r>
      <w:r>
        <w:rPr>
          <w:sz w:val="24"/>
          <w:b/>
          <w:u w:val="single"/>
        </w:rPr>
        <w:t>）</w:t>
      </w:r>
      <w:r>
        <w:rPr>
          <w:u w:val="single"/>
        </w:rPr>
        <w:t xml:space="preserve"> </w:t>
      </w:r>
      <w:r>
        <w:rPr>
          <w:sz w:val="24"/>
        </w:rPr>
        <w:t>项目的招标结果和招标文件的要求，在平等互利、协商一致的基础上，甲、乙双方经协商确定，甲方向乙方购买</w:t>
      </w:r>
      <w:r>
        <w:rPr>
          <w:b/>
          <w:u w:val="single"/>
        </w:rPr>
        <w:t xml:space="preserve">        </w:t>
      </w:r>
      <w:r>
        <w:rPr>
          <w:sz w:val="24"/>
        </w:rPr>
        <w:t>设备及其服务，为明确双方责任和权利，特签订本合同，共同遵守。具体条款如下：</w:t>
      </w:r>
    </w:p>
    <w:p>
      <w:pPr>
        <w:pStyle w:val="null3"/>
        <w:jc w:val="both"/>
      </w:pPr>
      <w:r>
        <w:rPr>
          <w:sz w:val="24"/>
          <w:b/>
        </w:rPr>
        <w:t>1.合同设备</w:t>
      </w:r>
    </w:p>
    <w:p>
      <w:pPr>
        <w:pStyle w:val="null3"/>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255"/>
        <w:gridCol w:w="1255"/>
        <w:gridCol w:w="1102"/>
        <w:gridCol w:w="675"/>
        <w:gridCol w:w="675"/>
        <w:gridCol w:w="982"/>
        <w:gridCol w:w="1102"/>
        <w:gridCol w:w="1255"/>
      </w:tblGrid>
      <w:tr>
        <w:tc>
          <w:tcPr>
            <w:tcW w:type="dxa" w:w="1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4"/>
                <w:b/>
              </w:rPr>
              <w:t>品名</w:t>
            </w:r>
          </w:p>
        </w:tc>
        <w:tc>
          <w:tcPr>
            <w:tcW w:type="dxa" w:w="1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产地厂家</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p>
        </w:tc>
        <w:tc>
          <w:tcPr>
            <w:tcW w:type="dxa" w:w="1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随机配件</w:t>
            </w:r>
          </w:p>
        </w:tc>
      </w:tr>
      <w:tr>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详见配置清单</w:t>
            </w:r>
          </w:p>
        </w:tc>
      </w:tr>
      <w:tr>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2.合同总价</w:t>
      </w:r>
    </w:p>
    <w:p>
      <w:pPr>
        <w:pStyle w:val="null3"/>
        <w:ind w:firstLine="540"/>
        <w:jc w:val="both"/>
      </w:pPr>
      <w:r>
        <w:rPr>
          <w:sz w:val="24"/>
        </w:rPr>
        <w:t>2.1总价为：</w:t>
      </w:r>
      <w:r>
        <w:rPr>
          <w:u w:val="single"/>
        </w:rPr>
        <w:t xml:space="preserve">           </w:t>
      </w:r>
      <w:r>
        <w:rPr>
          <w:sz w:val="24"/>
        </w:rPr>
        <w:t>（大写），即</w:t>
      </w:r>
      <w:r>
        <w:rPr>
          <w:sz w:val="24"/>
        </w:rPr>
        <w:t>RMB￥</w:t>
      </w:r>
      <w:r>
        <w:rPr>
          <w:u w:val="single"/>
        </w:rPr>
        <w:t xml:space="preserve">             </w:t>
      </w:r>
      <w:r>
        <w:rPr>
          <w:sz w:val="24"/>
        </w:rPr>
        <w:t>元，该合同总金额包括设备采购（制造）、设计、保险费、包装、仓储、运输、培训、安装及验收合格之前及保修期间包括备品备件发生等履行本项目所产生的所有含税费用及不可预见费用。本项目在合同执行期间合同总金额不变。</w:t>
      </w:r>
    </w:p>
    <w:p>
      <w:pPr>
        <w:pStyle w:val="null3"/>
        <w:ind w:firstLine="540"/>
        <w:jc w:val="both"/>
      </w:pPr>
      <w:r>
        <w:rPr>
          <w:sz w:val="24"/>
        </w:rPr>
        <w:t>2.2乙方应自行增加设备正常、合法、安全运行及使用所必</w:t>
      </w:r>
      <w:r>
        <w:rPr>
          <w:sz w:val="24"/>
        </w:rPr>
        <w:t>需</w:t>
      </w:r>
      <w:r>
        <w:rPr>
          <w:sz w:val="24"/>
        </w:rPr>
        <w:t>但招标文件没有包含的所有设备、版权、专利等一切费用。</w:t>
      </w:r>
    </w:p>
    <w:p>
      <w:pPr>
        <w:pStyle w:val="null3"/>
        <w:jc w:val="both"/>
      </w:pPr>
      <w:r>
        <w:rPr>
          <w:sz w:val="24"/>
          <w:b/>
        </w:rPr>
        <w:t>3.合同组成</w:t>
      </w:r>
    </w:p>
    <w:p>
      <w:pPr>
        <w:pStyle w:val="null3"/>
        <w:ind w:firstLine="540"/>
        <w:jc w:val="both"/>
      </w:pPr>
      <w:r>
        <w:rPr>
          <w:sz w:val="24"/>
        </w:rPr>
        <w:t>详细价格、技术说明及其</w:t>
      </w:r>
      <w:r>
        <w:rPr>
          <w:sz w:val="24"/>
        </w:rPr>
        <w:t>他</w:t>
      </w:r>
      <w:r>
        <w:rPr>
          <w:sz w:val="24"/>
        </w:rPr>
        <w:t>有关合同设备的特定信息由合同附件说明。所有附件及本项目的招投标文件、会议纪要、协议、澄清等均为本合同不可分割之一部分。</w:t>
      </w:r>
    </w:p>
    <w:p>
      <w:pPr>
        <w:pStyle w:val="null3"/>
        <w:jc w:val="both"/>
      </w:pPr>
      <w:r>
        <w:rPr>
          <w:sz w:val="24"/>
          <w:b/>
        </w:rPr>
        <w:t>4.技术要求</w:t>
      </w:r>
    </w:p>
    <w:p>
      <w:pPr>
        <w:pStyle w:val="null3"/>
        <w:ind w:firstLine="480"/>
        <w:jc w:val="both"/>
      </w:pPr>
      <w:r>
        <w:rPr>
          <w:sz w:val="24"/>
        </w:rPr>
        <w:t>4.1 乙方所提供设备，必须符合国家有关规范和环保要求及甲方的技术要求，并提供设备的检测报告。</w:t>
      </w:r>
    </w:p>
    <w:p>
      <w:pPr>
        <w:pStyle w:val="null3"/>
        <w:ind w:firstLine="480"/>
        <w:jc w:val="both"/>
      </w:pPr>
      <w:r>
        <w:rPr>
          <w:sz w:val="24"/>
        </w:rPr>
        <w:t>4.2 乙方或厂家技术人员需在安装前做好设备安装场地承重、供水供电和使用环境要求的落实，提供设备相关的物理尺寸、重量和安装水电布局图纸和数据等资料（小设备和低功率除外）。</w:t>
      </w:r>
    </w:p>
    <w:p>
      <w:pPr>
        <w:pStyle w:val="null3"/>
        <w:ind w:firstLine="480"/>
        <w:jc w:val="both"/>
      </w:pPr>
      <w:r>
        <w:rPr>
          <w:sz w:val="24"/>
        </w:rPr>
        <w:t>4.3乙方按甲方提供的合同执行进度计划，再配合甲方及有关单位，以此做好合同执行进度上的配合工作。</w:t>
      </w:r>
    </w:p>
    <w:p>
      <w:pPr>
        <w:pStyle w:val="null3"/>
        <w:jc w:val="both"/>
      </w:pPr>
      <w:r>
        <w:rPr>
          <w:sz w:val="24"/>
          <w:b/>
        </w:rPr>
        <w:t>5.合同设备包装、交货、安装调试及验收</w:t>
      </w:r>
    </w:p>
    <w:p>
      <w:pPr>
        <w:pStyle w:val="null3"/>
        <w:ind w:left="585" w:firstLine="15"/>
      </w:pPr>
      <w:r>
        <w:rPr>
          <w:sz w:val="24"/>
        </w:rPr>
        <w:t>包装运输</w:t>
      </w:r>
      <w:r>
        <w:br/>
      </w:r>
      <w:r>
        <w:rPr>
          <w:sz w:val="24"/>
        </w:rPr>
        <w:t>5.1合同设备的包装</w:t>
      </w:r>
    </w:p>
    <w:p>
      <w:pPr>
        <w:pStyle w:val="null3"/>
        <w:ind w:left="30" w:firstLine="501"/>
      </w:pPr>
      <w:r>
        <w:rPr>
          <w:sz w:val="24"/>
        </w:rPr>
        <w:t>5.1.1设备的包装均应有良好的防湿、防锈、防潮、防雨、防腐及防碰撞的措施。凡由于包装不良造成的损失和由此产生的费用均由乙方承担。</w:t>
      </w:r>
    </w:p>
    <w:p>
      <w:pPr>
        <w:pStyle w:val="null3"/>
        <w:ind w:left="30" w:firstLine="501"/>
      </w:pPr>
      <w:r>
        <w:rPr>
          <w:sz w:val="24"/>
        </w:rPr>
        <w:t>5.2合同设备的交货</w:t>
      </w:r>
    </w:p>
    <w:p>
      <w:pPr>
        <w:pStyle w:val="null3"/>
        <w:ind w:left="30" w:firstLine="501"/>
      </w:pPr>
      <w:r>
        <w:rPr>
          <w:sz w:val="24"/>
        </w:rPr>
        <w:t>5.2.1乙方交货时间：自合同签订之日起</w:t>
      </w:r>
      <w:r>
        <w:rPr>
          <w:u w:val="single"/>
        </w:rPr>
        <w:t xml:space="preserve">   </w:t>
      </w:r>
      <w:r>
        <w:rPr>
          <w:sz w:val="24"/>
        </w:rPr>
        <w:t>天内到货。</w:t>
      </w:r>
    </w:p>
    <w:p>
      <w:pPr>
        <w:pStyle w:val="null3"/>
        <w:ind w:left="30" w:firstLine="501"/>
      </w:pPr>
      <w:r>
        <w:rPr>
          <w:sz w:val="24"/>
        </w:rPr>
        <w:t>5.2.2乙方交货地点：乙方负责运输及卸车至甲方指定地点，并承担设备的运费、保险费等费用，装卸费由乙方承担。</w:t>
      </w:r>
    </w:p>
    <w:p>
      <w:pPr>
        <w:pStyle w:val="null3"/>
        <w:ind w:left="30" w:firstLine="501"/>
      </w:pPr>
      <w:r>
        <w:rPr>
          <w:sz w:val="24"/>
        </w:rPr>
        <w:t>5.3合同设备的安装调试</w:t>
      </w:r>
    </w:p>
    <w:p>
      <w:pPr>
        <w:pStyle w:val="null3"/>
        <w:ind w:left="30" w:firstLine="501"/>
      </w:pPr>
      <w:r>
        <w:rPr>
          <w:sz w:val="24"/>
        </w:rPr>
        <w:t>5.3.1乙方负责合同项下所有设备的安装，一切费用由乙方负责（含安装过程中的吊装及搬运费用）。</w:t>
      </w:r>
    </w:p>
    <w:p>
      <w:pPr>
        <w:pStyle w:val="null3"/>
        <w:ind w:left="30" w:firstLine="501"/>
      </w:pPr>
      <w:r>
        <w:rPr>
          <w:sz w:val="24"/>
        </w:rPr>
        <w:t>5.3.2设备到货后，乙方负责安装调试完成；乙方安装时须对各安装场地内的其他设备、设施有良好保护措施。</w:t>
      </w:r>
    </w:p>
    <w:p>
      <w:pPr>
        <w:pStyle w:val="null3"/>
        <w:ind w:firstLine="480"/>
        <w:jc w:val="both"/>
      </w:pPr>
      <w:r>
        <w:rPr>
          <w:sz w:val="24"/>
        </w:rPr>
        <w:t>5.3.3乙方或厂家提供的设备必须符合中国电源和气源标准，并配置规范合适医院使用的水电气接插件（如三线接地扁插头等），如不符合需更换。</w:t>
      </w:r>
    </w:p>
    <w:p>
      <w:pPr>
        <w:pStyle w:val="null3"/>
        <w:ind w:firstLine="480"/>
        <w:jc w:val="both"/>
      </w:pPr>
      <w:r>
        <w:rPr>
          <w:sz w:val="24"/>
        </w:rPr>
        <w:t>5.4设备的验收</w:t>
      </w:r>
    </w:p>
    <w:p>
      <w:pPr>
        <w:pStyle w:val="null3"/>
        <w:ind w:firstLine="480"/>
        <w:jc w:val="both"/>
      </w:pPr>
      <w:r>
        <w:rPr>
          <w:sz w:val="24"/>
        </w:rPr>
        <w:t>5.4.1设备安装完成后，自乙方提出验收申请之日起7个工作日内验收，验收应在甲方和乙方双方共同参加下进行。</w:t>
      </w:r>
    </w:p>
    <w:p>
      <w:pPr>
        <w:pStyle w:val="null3"/>
        <w:ind w:firstLine="480"/>
        <w:jc w:val="both"/>
      </w:pPr>
      <w:r>
        <w:rPr>
          <w:sz w:val="24"/>
        </w:rPr>
        <w:t>5.4.2验收按国家有关规定、规范进行。验收时如发现所交付的设备有短装、次品、损坏或其</w:t>
      </w:r>
      <w:r>
        <w:rPr>
          <w:sz w:val="24"/>
        </w:rPr>
        <w:t>他</w:t>
      </w:r>
      <w:r>
        <w:rPr>
          <w:sz w:val="24"/>
        </w:rPr>
        <w:t>符合本合同规定之情形者，甲方应作出详尽的现场记录，或由甲方和乙方双方签署备忘录。此现场记录或备忘录可用作补充、缺失和更换损坏部件的有效证据。由此产生的有关费用由乙方承担，乙方应在</w:t>
      </w:r>
      <w:r>
        <w:rPr>
          <w:sz w:val="24"/>
          <w:u w:val="single"/>
        </w:rPr>
        <w:t>10</w:t>
      </w:r>
      <w:r>
        <w:rPr>
          <w:sz w:val="24"/>
        </w:rPr>
        <w:t>天内补充及给予解决。</w:t>
      </w:r>
    </w:p>
    <w:p>
      <w:pPr>
        <w:pStyle w:val="null3"/>
        <w:ind w:firstLine="480"/>
        <w:jc w:val="both"/>
      </w:pPr>
      <w:r>
        <w:rPr>
          <w:sz w:val="24"/>
        </w:rPr>
        <w:t>5.4.3如果合同设备运输和安装过程中因事故造成货物短缺、损坏，乙方应及时安排换装，以保证合同设备安装的成功完成。换货的相关费用由乙方承担。</w:t>
      </w:r>
    </w:p>
    <w:p>
      <w:pPr>
        <w:pStyle w:val="null3"/>
        <w:ind w:firstLine="480"/>
        <w:jc w:val="both"/>
      </w:pPr>
      <w:r>
        <w:rPr>
          <w:sz w:val="24"/>
        </w:rPr>
        <w:t>5.4.4乙方或厂家负责提供有数据的验收测试报告（属计量器具的设备需提供计量检测合格报告和负责首次计量强制检定），大型设备需提供第三方测试报告，费用由乙方承担。</w:t>
      </w:r>
    </w:p>
    <w:p>
      <w:pPr>
        <w:pStyle w:val="null3"/>
        <w:ind w:firstLine="480"/>
        <w:jc w:val="both"/>
      </w:pPr>
      <w:r>
        <w:rPr>
          <w:sz w:val="24"/>
        </w:rPr>
        <w:t>5.4.5乙方或厂家负责提供设备与医院在用信息系统接入服务（HIS、PAS系统等），接口费用由乙方承担。</w:t>
      </w:r>
    </w:p>
    <w:p>
      <w:pPr>
        <w:pStyle w:val="null3"/>
        <w:ind w:firstLine="480"/>
        <w:jc w:val="both"/>
      </w:pPr>
      <w:r>
        <w:rPr>
          <w:sz w:val="24"/>
        </w:rPr>
        <w:t>5.4.6合同设备验收时要求提供操作规程、维护保养细则、原厂及中文操作手册、快速操作卡片、合格证、保修卡、随机资料及配件、随机工具等供医院使用科室、设备科各留存一份。</w:t>
      </w:r>
    </w:p>
    <w:p>
      <w:pPr>
        <w:pStyle w:val="null3"/>
        <w:ind w:firstLine="480"/>
        <w:jc w:val="both"/>
      </w:pPr>
      <w:r>
        <w:rPr>
          <w:sz w:val="24"/>
        </w:rPr>
        <w:t>5.4.7乙方保证合同项下提供的设备不侵犯任何第三方的专利、商标或版权。否则，乙方须承担对第三方的专利或版权的侵权责任并承担因此而发生的所有费用。</w:t>
      </w:r>
    </w:p>
    <w:p>
      <w:pPr>
        <w:pStyle w:val="null3"/>
        <w:jc w:val="both"/>
      </w:pPr>
      <w:r>
        <w:rPr>
          <w:sz w:val="24"/>
          <w:b/>
        </w:rPr>
        <w:t>6.售后服务</w:t>
      </w:r>
    </w:p>
    <w:p>
      <w:pPr>
        <w:pStyle w:val="null3"/>
        <w:ind w:left="30" w:firstLine="506"/>
      </w:pPr>
      <w:r>
        <w:rPr>
          <w:sz w:val="24"/>
        </w:rPr>
        <w:t>6.1 合同设备是全新、未曾使用过的，其质量、规格及技术特征符合合同附件的要求，并提供货物的装箱清单、用户手册、合格证、保修卡、随机资料及配件、随机工具等。</w:t>
      </w:r>
    </w:p>
    <w:p>
      <w:pPr>
        <w:pStyle w:val="null3"/>
        <w:ind w:left="30" w:firstLine="506"/>
      </w:pPr>
      <w:r>
        <w:rPr>
          <w:sz w:val="24"/>
        </w:rPr>
        <w:t>6.2 自验收合格之日起整机免费保修期（保质保用期）</w:t>
      </w:r>
      <w:r>
        <w:rPr>
          <w:u w:val="single"/>
        </w:rPr>
        <w:t xml:space="preserve">    </w:t>
      </w:r>
      <w:r>
        <w:rPr>
          <w:sz w:val="24"/>
        </w:rPr>
        <w:t>年，</w:t>
      </w:r>
    </w:p>
    <w:p>
      <w:pPr>
        <w:pStyle w:val="null3"/>
        <w:ind w:left="30" w:firstLine="506"/>
      </w:pPr>
      <w:r>
        <w:rPr>
          <w:sz w:val="24"/>
        </w:rPr>
        <w:t>6.3保修期的期限应以甲方和乙方双方的验收合格之日起计算，保修期内免费更换零配件及免工时费。乙方保证在保修期内应确保开机率为95%以上，如达不到此要求，即相应延长保修期。由于质量、性能原因更换补缺零配件，相应延长修补或更换部件的质量保证期。</w:t>
      </w:r>
    </w:p>
    <w:p>
      <w:pPr>
        <w:pStyle w:val="null3"/>
        <w:ind w:left="30" w:firstLine="506"/>
      </w:pPr>
      <w:r>
        <w:rPr>
          <w:sz w:val="24"/>
        </w:rPr>
        <w:t>6.4</w:t>
      </w:r>
      <w:r>
        <w:rPr/>
        <w:t xml:space="preserve"> </w:t>
      </w:r>
      <w:r>
        <w:rPr>
          <w:sz w:val="24"/>
        </w:rPr>
        <w:t>验收后一个月内出现非人为质量问题的，由乙方负责包换或包退，保修期（保质保用期）内非因甲方原因而出现产品质量及安装问题，由乙方负责包修，并承担因此而产生的一切费用。乙方应在接到甲方通知后按甲方要求派员到现场维修，报修响应时间</w:t>
      </w:r>
      <w:r>
        <w:rPr>
          <w:u w:val="single"/>
        </w:rPr>
        <w:t xml:space="preserve">   </w:t>
      </w:r>
      <w:r>
        <w:rPr>
          <w:sz w:val="24"/>
        </w:rPr>
        <w:t>小时内，到场时间</w:t>
      </w:r>
      <w:r>
        <w:rPr>
          <w:u w:val="single"/>
        </w:rPr>
        <w:t xml:space="preserve">   </w:t>
      </w:r>
      <w:r>
        <w:rPr>
          <w:sz w:val="24"/>
        </w:rPr>
        <w:t>小时内，提供免费咨询电话。</w:t>
      </w:r>
    </w:p>
    <w:p>
      <w:pPr>
        <w:pStyle w:val="null3"/>
        <w:ind w:left="30" w:firstLine="506"/>
      </w:pPr>
      <w:r>
        <w:rPr>
          <w:sz w:val="24"/>
        </w:rPr>
        <w:t>6.5 保修期后，乙方提供终身免费保修服务；国内具有大规模零配件库存，以保证及时的零配件供应，如需更换零配件，乙方只收取零配件费。在硬件无改变的情况下，软件终身免费升级。</w:t>
      </w:r>
    </w:p>
    <w:p>
      <w:pPr>
        <w:pStyle w:val="null3"/>
        <w:ind w:left="30" w:firstLine="506"/>
      </w:pPr>
      <w:r>
        <w:rPr>
          <w:sz w:val="24"/>
        </w:rPr>
        <w:t>6.6 下列情况乙方不负责免费保修：</w:t>
      </w:r>
    </w:p>
    <w:p>
      <w:pPr>
        <w:pStyle w:val="null3"/>
        <w:ind w:left="30" w:firstLine="506"/>
      </w:pPr>
      <w:r>
        <w:rPr>
          <w:sz w:val="24"/>
        </w:rPr>
        <w:t>①未按照乙方提供的正确使用方法而引致设备故障损坏；</w:t>
      </w:r>
    </w:p>
    <w:p>
      <w:pPr>
        <w:pStyle w:val="null3"/>
        <w:ind w:left="30" w:firstLine="506"/>
      </w:pPr>
      <w:r>
        <w:rPr>
          <w:sz w:val="24"/>
        </w:rPr>
        <w:t>②擅自改装设备。</w:t>
      </w:r>
    </w:p>
    <w:p>
      <w:pPr>
        <w:pStyle w:val="null3"/>
        <w:ind w:left="30" w:firstLine="506"/>
      </w:pPr>
      <w:r>
        <w:rPr>
          <w:sz w:val="24"/>
        </w:rPr>
        <w:t>6.7 因设备的质量问题而发生争议，由广东省或广州市质检部门进行质量鉴定。设备符合质量标准的，鉴定费用由甲方承担；设备不符合质量标准的，鉴定费用由乙方承担。</w:t>
      </w:r>
    </w:p>
    <w:p>
      <w:pPr>
        <w:pStyle w:val="null3"/>
        <w:ind w:left="30" w:firstLine="506"/>
      </w:pPr>
      <w:r>
        <w:rPr>
          <w:sz w:val="24"/>
        </w:rPr>
        <w:t>6.8乙方无偿现场培训甲方维修人员，主要内容为设备的基本结构、性能、主要部件的构造及修理，日常使用保养与管理，常见故障的排除，紧急情况的处理等。</w:t>
      </w:r>
    </w:p>
    <w:p>
      <w:pPr>
        <w:pStyle w:val="null3"/>
        <w:ind w:left="30" w:firstLine="506"/>
      </w:pPr>
      <w:r>
        <w:rPr>
          <w:sz w:val="24"/>
        </w:rPr>
        <w:t>6.9</w:t>
      </w:r>
      <w:r>
        <w:rPr/>
        <w:t xml:space="preserve"> </w:t>
      </w:r>
      <w:r>
        <w:rPr>
          <w:sz w:val="24"/>
        </w:rPr>
        <w:t>乙方应派专业技术人员在项目现场对甲方使用人员进行培训或指导（培训内容包括但不限于设备的基本结构、性能、操作使用及紧急情况的处理等相关内容），在使用一段时间后根据甲方的要求另行安排培训计划。培训标准以甲方相关人员掌握设备性能及熟练安全操作为准。</w:t>
      </w:r>
    </w:p>
    <w:p>
      <w:pPr>
        <w:pStyle w:val="null3"/>
        <w:ind w:firstLine="480"/>
        <w:jc w:val="both"/>
      </w:pPr>
      <w:r>
        <w:rPr>
          <w:sz w:val="24"/>
        </w:rPr>
        <w:t>6.10 乙方应承诺中标后在广东省内设有售后服务点。</w:t>
      </w:r>
    </w:p>
    <w:p>
      <w:pPr>
        <w:pStyle w:val="null3"/>
        <w:ind w:left="240" w:firstLine="308"/>
        <w:jc w:val="both"/>
      </w:pPr>
      <w:r>
        <w:rPr>
          <w:sz w:val="24"/>
          <w:b/>
        </w:rPr>
        <w:t>7.付款方式</w:t>
      </w:r>
    </w:p>
    <w:p>
      <w:pPr>
        <w:pStyle w:val="null3"/>
        <w:ind w:firstLine="480"/>
        <w:jc w:val="both"/>
      </w:pPr>
      <w:r>
        <w:rPr>
          <w:sz w:val="24"/>
        </w:rPr>
        <w:t>1.第1期：支付比例</w:t>
      </w:r>
      <w:r>
        <w:rPr>
          <w:sz w:val="24"/>
        </w:rPr>
        <w:t>80</w:t>
      </w:r>
      <w:r>
        <w:rPr>
          <w:sz w:val="24"/>
        </w:rPr>
        <w:t>%，本合同的每笔款项以人民币方式支付，支付的时间和金额双方约定如下：双方签订合同后，乙方向甲方提供合同金额</w:t>
      </w:r>
      <w:r>
        <w:rPr>
          <w:sz w:val="24"/>
        </w:rPr>
        <w:t>80</w:t>
      </w:r>
      <w:r>
        <w:rPr>
          <w:sz w:val="24"/>
        </w:rPr>
        <w:t>%的有效发票，甲方在收到乙方发票后5个工作日内办理支付</w:t>
      </w:r>
      <w:r>
        <w:rPr>
          <w:sz w:val="24"/>
        </w:rPr>
        <w:t>80</w:t>
      </w:r>
      <w:r>
        <w:rPr>
          <w:sz w:val="24"/>
        </w:rPr>
        <w:t>%合同金额作为预付款；</w:t>
      </w:r>
      <w:r>
        <w:br/>
      </w:r>
      <w:r>
        <w:rPr/>
        <w:t xml:space="preserve">       </w:t>
      </w:r>
      <w:r>
        <w:rPr>
          <w:sz w:val="24"/>
        </w:rPr>
        <w:t>2.第2期：支付比例</w:t>
      </w:r>
      <w:r>
        <w:rPr>
          <w:sz w:val="24"/>
        </w:rPr>
        <w:t>20</w:t>
      </w:r>
      <w:r>
        <w:rPr>
          <w:sz w:val="24"/>
        </w:rPr>
        <w:t>%，待合同设备全部到货至甲方指定地点办理交付手续，完成清点和安装调试验收合格后，凭：（1）乙方开具的正式发票（2）安装验收报告，由甲方办理支付乙方余下货款。</w:t>
      </w:r>
    </w:p>
    <w:p>
      <w:pPr>
        <w:pStyle w:val="null3"/>
        <w:ind w:firstLine="480"/>
        <w:jc w:val="both"/>
      </w:pPr>
      <w:r>
        <w:rPr>
          <w:sz w:val="24"/>
        </w:rPr>
        <w:t>3.如购买设备的款源来自上级财政部门，财政到款再行办理支付手续。</w:t>
      </w:r>
    </w:p>
    <w:p>
      <w:pPr>
        <w:pStyle w:val="null3"/>
        <w:ind w:firstLine="964"/>
        <w:jc w:val="both"/>
      </w:pPr>
      <w:r>
        <w:rPr>
          <w:sz w:val="24"/>
          <w:b/>
        </w:rPr>
        <w:t>乙方开户名称：</w:t>
      </w:r>
    </w:p>
    <w:p>
      <w:pPr>
        <w:pStyle w:val="null3"/>
        <w:ind w:firstLine="964"/>
        <w:jc w:val="both"/>
      </w:pPr>
      <w:r>
        <w:rPr>
          <w:sz w:val="24"/>
          <w:b/>
        </w:rPr>
        <w:t>乙方银行账号：</w:t>
      </w:r>
    </w:p>
    <w:p>
      <w:pPr>
        <w:pStyle w:val="null3"/>
        <w:ind w:firstLine="964"/>
        <w:jc w:val="both"/>
      </w:pPr>
      <w:r>
        <w:rPr>
          <w:sz w:val="24"/>
          <w:b/>
        </w:rPr>
        <w:t>乙方开户行：</w:t>
      </w:r>
    </w:p>
    <w:p>
      <w:pPr>
        <w:pStyle w:val="null3"/>
        <w:ind w:left="225" w:firstLine="240"/>
        <w:jc w:val="both"/>
      </w:pPr>
      <w:r>
        <w:rPr>
          <w:sz w:val="24"/>
        </w:rPr>
        <w:t>(请确认合同账户信息与省政府采购网注册信息一致)</w:t>
      </w:r>
    </w:p>
    <w:p>
      <w:pPr>
        <w:pStyle w:val="null3"/>
        <w:ind w:left="15"/>
        <w:jc w:val="both"/>
      </w:pPr>
      <w:r>
        <w:rPr>
          <w:sz w:val="24"/>
          <w:b/>
        </w:rPr>
        <w:t>8.不可抗力</w:t>
      </w:r>
    </w:p>
    <w:p>
      <w:pPr>
        <w:pStyle w:val="null3"/>
        <w:ind w:firstLine="480"/>
        <w:jc w:val="both"/>
      </w:pPr>
      <w:r>
        <w:rPr>
          <w:sz w:val="24"/>
        </w:rPr>
        <w:t>8.1不可抗力指战争、严重火灾、洪水、台风、地震等或其</w:t>
      </w:r>
      <w:r>
        <w:rPr>
          <w:sz w:val="24"/>
        </w:rPr>
        <w:t>他</w:t>
      </w:r>
      <w:r>
        <w:rPr>
          <w:sz w:val="24"/>
        </w:rPr>
        <w:t>双方认定的不可抗力事件。</w:t>
      </w:r>
    </w:p>
    <w:p>
      <w:pPr>
        <w:pStyle w:val="null3"/>
        <w:ind w:firstLine="480"/>
        <w:jc w:val="both"/>
      </w:pPr>
      <w:r>
        <w:rPr>
          <w:sz w:val="24"/>
        </w:rPr>
        <w:t>8.2签约双方中任何一方由于不可抗力影响合同执行时，发生不可抗力一方应尽快将事故通知另一方。在此情况下，乙方仍然有责任采取必要的措施加速供货，双方应通过友好协商尽快解决本合同的执行问题。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left="15"/>
        <w:jc w:val="both"/>
      </w:pPr>
      <w:r>
        <w:rPr>
          <w:sz w:val="24"/>
          <w:b/>
        </w:rPr>
        <w:t>9.索赔</w:t>
      </w:r>
    </w:p>
    <w:p>
      <w:pPr>
        <w:pStyle w:val="null3"/>
        <w:ind w:firstLine="480"/>
        <w:jc w:val="both"/>
      </w:pPr>
      <w:r>
        <w:rPr>
          <w:sz w:val="24"/>
        </w:rPr>
        <w:t>9.1如有异议，甲方有权根据有关政府部门的检验结果向乙方提出索赔。</w:t>
      </w:r>
    </w:p>
    <w:p>
      <w:pPr>
        <w:pStyle w:val="null3"/>
        <w:ind w:firstLine="480"/>
        <w:jc w:val="both"/>
      </w:pPr>
      <w:r>
        <w:rPr>
          <w:sz w:val="24"/>
        </w:rPr>
        <w:t>9.2在合同执行期间，如果乙方对甲方提出的索赔和差异负有责任，乙方应按照甲方同意的下列一种或多种方式解决索赔事宜：</w:t>
      </w:r>
    </w:p>
    <w:p>
      <w:pPr>
        <w:pStyle w:val="null3"/>
        <w:ind w:firstLine="480"/>
        <w:jc w:val="both"/>
      </w:pPr>
      <w:r>
        <w:rPr>
          <w:sz w:val="24"/>
        </w:rPr>
        <w:t>（</w:t>
      </w:r>
      <w:r>
        <w:rPr>
          <w:sz w:val="24"/>
        </w:rPr>
        <w:t>1）乙方同意退货，并按合同规定的同种货币将货款退还给甲方，并承担由此发生的一切损失和费用。</w:t>
      </w:r>
    </w:p>
    <w:p>
      <w:pPr>
        <w:pStyle w:val="null3"/>
        <w:ind w:firstLine="480"/>
        <w:jc w:val="both"/>
      </w:pPr>
      <w:r>
        <w:rPr>
          <w:sz w:val="24"/>
        </w:rPr>
        <w:t>（</w:t>
      </w:r>
      <w:r>
        <w:rPr>
          <w:sz w:val="24"/>
        </w:rPr>
        <w:t>2）根据货物低劣程度、损坏程度以及甲方所遭受损失的数额甲乙双方商定降低货物的价格。</w:t>
      </w:r>
    </w:p>
    <w:p>
      <w:pPr>
        <w:pStyle w:val="null3"/>
        <w:ind w:firstLine="480"/>
        <w:jc w:val="both"/>
      </w:pPr>
      <w:r>
        <w:rPr>
          <w:sz w:val="24"/>
        </w:rPr>
        <w:t>（</w:t>
      </w:r>
      <w:r>
        <w:rPr>
          <w:sz w:val="24"/>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80"/>
        <w:jc w:val="both"/>
      </w:pPr>
      <w:r>
        <w:rPr>
          <w:sz w:val="24"/>
        </w:rPr>
        <w:t>9.3如果在甲方发出索赔通知后30天内，乙方未作答复，上述索赔应视为已被乙方接受。甲方将从合同款项中扣回索赔金额。如果这些金额不足以补偿索赔金额，甲方有权向乙方提出不足部分的补偿。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10.违约与处罚</w:t>
      </w:r>
    </w:p>
    <w:p>
      <w:pPr>
        <w:pStyle w:val="null3"/>
        <w:ind w:firstLine="480"/>
        <w:jc w:val="both"/>
      </w:pPr>
      <w:r>
        <w:rPr>
          <w:sz w:val="24"/>
        </w:rPr>
        <w:t>10.1甲方应依合同规定时间内，向乙方支付货款，每拖延一天乙方可向甲方加收应收合同金额的3‰的违约金，该违约金总额不超过合同总价的10%。</w:t>
      </w:r>
    </w:p>
    <w:p>
      <w:pPr>
        <w:pStyle w:val="null3"/>
        <w:ind w:firstLine="480"/>
        <w:jc w:val="both"/>
      </w:pPr>
      <w:r>
        <w:rPr>
          <w:sz w:val="24"/>
        </w:rPr>
        <w:t>10.2乙方未能按时交货，每拖延1天，须向甲方支付合同金额的5‰的违约金，该违约金总额不超过合同总价的15%。</w:t>
      </w:r>
    </w:p>
    <w:p>
      <w:pPr>
        <w:pStyle w:val="null3"/>
        <w:ind w:firstLine="480"/>
        <w:jc w:val="both"/>
      </w:pPr>
      <w:r>
        <w:rPr>
          <w:sz w:val="24"/>
        </w:rPr>
        <w:t>10.3 乙方交付的货物不符合合同规定的，甲方有权拒收，乙方向甲方支付合同金额的5%的违约金。</w:t>
      </w:r>
    </w:p>
    <w:p>
      <w:pPr>
        <w:pStyle w:val="null3"/>
        <w:ind w:firstLine="480"/>
        <w:jc w:val="both"/>
      </w:pPr>
      <w:r>
        <w:rPr>
          <w:sz w:val="24"/>
        </w:rPr>
        <w:t>10.4 甲方无正当理由拒收货物的，甲方向乙方支付合同金额的5%的违约金。</w:t>
      </w:r>
    </w:p>
    <w:p>
      <w:pPr>
        <w:pStyle w:val="null3"/>
        <w:ind w:firstLine="480"/>
        <w:jc w:val="both"/>
      </w:pPr>
      <w:r>
        <w:rPr>
          <w:sz w:val="24"/>
        </w:rPr>
        <w:t>10.5 乙方未能交付货物，则向甲方支付合同金额的7.5%的违约金。</w:t>
      </w:r>
    </w:p>
    <w:p>
      <w:pPr>
        <w:pStyle w:val="null3"/>
        <w:ind w:firstLine="480"/>
        <w:jc w:val="both"/>
      </w:pPr>
      <w:r>
        <w:rPr>
          <w:sz w:val="24"/>
        </w:rPr>
        <w:t>10.6乙方保证所提供的产品属于全新、合格的产品，不存在任何知识产权侵权，否则有权单方解除合同，乙方返还甲方已支付的全部款项，并向甲方支付合同总金额30%的违约金。</w:t>
      </w:r>
    </w:p>
    <w:p>
      <w:pPr>
        <w:pStyle w:val="null3"/>
        <w:jc w:val="both"/>
      </w:pPr>
      <w:r>
        <w:rPr>
          <w:sz w:val="24"/>
          <w:b/>
        </w:rPr>
        <w:t>11.合同终止</w:t>
      </w:r>
    </w:p>
    <w:p>
      <w:pPr>
        <w:pStyle w:val="null3"/>
        <w:ind w:firstLine="540"/>
        <w:jc w:val="both"/>
      </w:pPr>
      <w:r>
        <w:rPr>
          <w:sz w:val="24"/>
        </w:rPr>
        <w:t>如果一方严重违反合同，并在收到对方违约通知书后在</w:t>
      </w:r>
      <w:r>
        <w:rPr>
          <w:sz w:val="24"/>
        </w:rPr>
        <w:t>30天内仍未能改正违约的另一方可立即终止本合同。</w:t>
      </w:r>
    </w:p>
    <w:p>
      <w:pPr>
        <w:pStyle w:val="null3"/>
        <w:jc w:val="both"/>
      </w:pPr>
      <w:r>
        <w:rPr>
          <w:sz w:val="24"/>
          <w:b/>
        </w:rPr>
        <w:t>12.法律诉讼</w:t>
      </w:r>
    </w:p>
    <w:p>
      <w:pPr>
        <w:pStyle w:val="null3"/>
        <w:ind w:firstLine="480"/>
        <w:jc w:val="both"/>
      </w:pPr>
      <w:r>
        <w:rPr>
          <w:sz w:val="24"/>
        </w:rPr>
        <w:t>签约双方在履约中发生争执和分歧，双方应通过友好协商解决，若经协商不能达成协议时，则由甲方所在地人民法院提起诉讼（仲裁或诉讼任选一种）。受理期间，双方应继续执行合同其余部分。</w:t>
      </w:r>
    </w:p>
    <w:p>
      <w:pPr>
        <w:pStyle w:val="null3"/>
        <w:jc w:val="both"/>
      </w:pPr>
      <w:r>
        <w:rPr>
          <w:sz w:val="24"/>
          <w:b/>
        </w:rPr>
        <w:t>13.其他</w:t>
      </w:r>
    </w:p>
    <w:p>
      <w:pPr>
        <w:pStyle w:val="null3"/>
        <w:ind w:firstLine="480"/>
        <w:jc w:val="both"/>
      </w:pPr>
      <w:r>
        <w:rPr>
          <w:sz w:val="24"/>
        </w:rPr>
        <w:t>13.1本合同正本肆份，具有同等法律效力，甲方贰份，乙方和招标代理机构各执壹份，合同自签字之日起即时生效。</w:t>
      </w:r>
    </w:p>
    <w:p>
      <w:pPr>
        <w:pStyle w:val="null3"/>
        <w:ind w:left="540"/>
        <w:jc w:val="both"/>
      </w:pPr>
      <w:r>
        <w:rPr>
          <w:sz w:val="24"/>
        </w:rPr>
        <w:t>13.2本合同</w:t>
      </w:r>
      <w:r>
        <w:rPr>
          <w:sz w:val="24"/>
        </w:rPr>
        <w:t>未</w:t>
      </w:r>
      <w:r>
        <w:rPr>
          <w:sz w:val="24"/>
        </w:rPr>
        <w:t>尽事宜，由双方协商处理。</w:t>
      </w:r>
    </w:p>
    <w:p>
      <w:pPr>
        <w:pStyle w:val="null3"/>
        <w:jc w:val="both"/>
      </w:pPr>
      <w:r>
        <w:rPr/>
        <w:t xml:space="preserve"> </w:t>
      </w:r>
    </w:p>
    <w:p>
      <w:pPr>
        <w:pStyle w:val="null3"/>
        <w:jc w:val="both"/>
      </w:pPr>
      <w:r>
        <w:rPr>
          <w:sz w:val="24"/>
        </w:rPr>
        <w:t>甲方：广州医科大学附属第一医院</w:t>
      </w:r>
      <w:r>
        <w:rPr>
          <w:sz w:val="24"/>
        </w:rPr>
        <w:t xml:space="preserve">            </w:t>
      </w:r>
      <w:r>
        <w:rPr>
          <w:sz w:val="24"/>
        </w:rPr>
        <w:t>乙方：</w:t>
      </w:r>
    </w:p>
    <w:p>
      <w:pPr>
        <w:pStyle w:val="null3"/>
        <w:jc w:val="both"/>
      </w:pPr>
      <w:r>
        <w:rPr>
          <w:sz w:val="24"/>
        </w:rPr>
        <w:t>法人代表：</w:t>
      </w:r>
      <w:r>
        <w:rPr>
          <w:sz w:val="24"/>
        </w:rPr>
        <w:t xml:space="preserve">                                </w:t>
      </w:r>
      <w:r>
        <w:rPr>
          <w:sz w:val="24"/>
        </w:rPr>
        <w:t>法人代表：</w:t>
      </w:r>
    </w:p>
    <w:p>
      <w:pPr>
        <w:pStyle w:val="null3"/>
        <w:jc w:val="both"/>
      </w:pPr>
      <w:r>
        <w:rPr>
          <w:sz w:val="24"/>
        </w:rPr>
        <w:t>签约代表：</w:t>
      </w:r>
      <w:r>
        <w:rPr>
          <w:sz w:val="24"/>
        </w:rPr>
        <w:t xml:space="preserve">                                </w:t>
      </w:r>
      <w:r>
        <w:rPr>
          <w:sz w:val="24"/>
        </w:rPr>
        <w:t>签约代表：</w:t>
      </w:r>
    </w:p>
    <w:p>
      <w:pPr>
        <w:pStyle w:val="null3"/>
        <w:jc w:val="both"/>
      </w:pPr>
      <w:r>
        <w:rPr>
          <w:sz w:val="24"/>
        </w:rPr>
        <w:t>地址：广州市荔湾区大坦沙桥中中路</w:t>
      </w:r>
      <w:r>
        <w:rPr>
          <w:sz w:val="24"/>
        </w:rPr>
        <w:t>28号     地址：</w:t>
      </w:r>
    </w:p>
    <w:p>
      <w:pPr>
        <w:pStyle w:val="null3"/>
        <w:jc w:val="both"/>
      </w:pPr>
      <w:r>
        <w:rPr>
          <w:sz w:val="24"/>
        </w:rPr>
        <w:t>电话：</w:t>
      </w:r>
      <w:r>
        <w:rPr>
          <w:sz w:val="24"/>
        </w:rPr>
        <w:t>020-81566493</w:t>
      </w:r>
    </w:p>
    <w:p>
      <w:pPr>
        <w:pStyle w:val="null3"/>
        <w:jc w:val="both"/>
      </w:pPr>
      <w:r>
        <w:rPr>
          <w:sz w:val="24"/>
        </w:rPr>
        <w:t xml:space="preserve"> </w:t>
      </w:r>
      <w:r>
        <w:rPr>
          <w:sz w:val="24"/>
        </w:rPr>
        <w:t>电话：</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签约地点：广州</w:t>
      </w:r>
      <w:r>
        <w:br/>
      </w:r>
      <w:r>
        <w:rPr/>
        <w:t xml:space="preserve">       </w:t>
      </w:r>
    </w:p>
    <w:p>
      <w:pPr>
        <w:pStyle w:val="null3"/>
        <w:jc w:val="both"/>
      </w:pPr>
      <w:r>
        <w:rPr/>
        <w:t xml:space="preserve"> </w:t>
      </w:r>
    </w:p>
    <w:p>
      <w:pPr>
        <w:pStyle w:val="null3"/>
        <w:jc w:val="both"/>
      </w:pPr>
      <w:r>
        <w:rPr/>
        <w:t xml:space="preserve"> </w:t>
      </w:r>
    </w:p>
    <w:p>
      <w:pPr>
        <w:pStyle w:val="null3"/>
        <w:jc w:val="both"/>
      </w:pPr>
      <w:r>
        <w:rPr>
          <w:sz w:val="24"/>
        </w:rPr>
        <w:t>附件：</w:t>
      </w:r>
    </w:p>
    <w:p>
      <w:pPr>
        <w:pStyle w:val="null3"/>
        <w:jc w:val="center"/>
      </w:pPr>
      <w:r>
        <w:rPr>
          <w:sz w:val="24"/>
          <w:b/>
        </w:rPr>
        <w:t>医疗卫生机构廉洁协议</w:t>
      </w:r>
    </w:p>
    <w:p>
      <w:pPr>
        <w:pStyle w:val="null3"/>
        <w:jc w:val="both"/>
      </w:pPr>
      <w:r>
        <w:rPr>
          <w:sz w:val="24"/>
        </w:rPr>
        <w:t>甲方：广州医科大学附属第一医院</w:t>
      </w:r>
    </w:p>
    <w:p>
      <w:pPr>
        <w:pStyle w:val="null3"/>
        <w:jc w:val="both"/>
      </w:pPr>
      <w:r>
        <w:rPr>
          <w:sz w:val="24"/>
        </w:rPr>
        <w:t>乙方：</w:t>
      </w:r>
      <w:r>
        <w:rPr>
          <w:sz w:val="24"/>
        </w:rPr>
        <w:t xml:space="preserve">                  </w:t>
      </w:r>
    </w:p>
    <w:p>
      <w:pPr>
        <w:pStyle w:val="null3"/>
        <w:ind w:firstLine="480"/>
        <w:jc w:val="both"/>
      </w:pPr>
      <w:r>
        <w:rPr>
          <w:sz w:val="24"/>
        </w:rPr>
        <w:t>为加强医院党风廉政建设和行业作风建设，促进医院与企业廉洁合作，有效防范商业贿赂行为，经甲、乙双方协商，同意签订本协议，并共同遵守。</w:t>
      </w:r>
    </w:p>
    <w:p>
      <w:pPr>
        <w:pStyle w:val="null3"/>
        <w:ind w:firstLine="480"/>
        <w:jc w:val="both"/>
      </w:pPr>
      <w:r>
        <w:rPr>
          <w:sz w:val="24"/>
        </w:rPr>
        <w:t>一、甲方责任和廉洁要求</w:t>
      </w:r>
    </w:p>
    <w:p>
      <w:pPr>
        <w:pStyle w:val="null3"/>
        <w:ind w:firstLine="480"/>
        <w:jc w:val="both"/>
      </w:pPr>
      <w:r>
        <w:rPr>
          <w:sz w:val="24"/>
        </w:rPr>
        <w:t>甲方在招标、遴选、议标、合同签订、合同履约、合同付款、合同结算等过程中，要遵守以下廉洁约定：</w:t>
      </w:r>
    </w:p>
    <w:p>
      <w:pPr>
        <w:pStyle w:val="null3"/>
        <w:ind w:firstLine="480"/>
        <w:jc w:val="both"/>
      </w:pPr>
      <w:r>
        <w:rPr>
          <w:sz w:val="24"/>
        </w:rPr>
        <w:t>1.甲方在进行上述业务活动过程中，应严格遵守国家法律法规、行业纪律和医院规章制度，严格执行双方确定的合同、协议和承诺；</w:t>
      </w:r>
    </w:p>
    <w:p>
      <w:pPr>
        <w:pStyle w:val="null3"/>
        <w:ind w:firstLine="480"/>
        <w:jc w:val="both"/>
      </w:pPr>
      <w:r>
        <w:rPr>
          <w:sz w:val="24"/>
        </w:rPr>
        <w:t>2.甲方人员在进行上述活动中，如与乙方存在利益关联或者亲属关系的，应主动向业务主管部门报告，申请回避；</w:t>
      </w:r>
    </w:p>
    <w:p>
      <w:pPr>
        <w:pStyle w:val="null3"/>
        <w:ind w:firstLine="480"/>
        <w:jc w:val="both"/>
      </w:pPr>
      <w:r>
        <w:rPr>
          <w:sz w:val="24"/>
        </w:rPr>
        <w:t>3.甲方人员必须严格执行廉洁自律各项规定，不得向乙方索要任何形式的个人利益，不得收受乙方赠送的礼品、礼金和有价证券，不得接受乙方宴请、免费旅游、房屋装修、出国留学或其</w:t>
      </w:r>
      <w:r>
        <w:rPr>
          <w:sz w:val="24"/>
        </w:rPr>
        <w:t>他</w:t>
      </w:r>
      <w:r>
        <w:rPr>
          <w:sz w:val="24"/>
        </w:rPr>
        <w:t>财产性利益；</w:t>
      </w:r>
    </w:p>
    <w:p>
      <w:pPr>
        <w:pStyle w:val="null3"/>
        <w:ind w:firstLine="480"/>
        <w:jc w:val="both"/>
      </w:pPr>
      <w:r>
        <w:rPr>
          <w:sz w:val="24"/>
        </w:rPr>
        <w:t>4.甲方应向乙方介绍本单位的有关廉政建设的各项制度和规定，有权对乙方在业务活动中保持廉洁的情况实行监督，如发现乙方人员有不廉洁行为，甲方责任科室应及时向分管领导及纪检部门汇报，并采取措施终止其不廉洁行为的继续发生。</w:t>
      </w:r>
    </w:p>
    <w:p>
      <w:pPr>
        <w:pStyle w:val="null3"/>
        <w:ind w:firstLine="480"/>
        <w:jc w:val="both"/>
      </w:pPr>
      <w:r>
        <w:rPr>
          <w:sz w:val="24"/>
        </w:rPr>
        <w:t>二、乙方责任和廉洁要求</w:t>
      </w:r>
    </w:p>
    <w:p>
      <w:pPr>
        <w:pStyle w:val="null3"/>
        <w:ind w:firstLine="480"/>
        <w:jc w:val="both"/>
      </w:pPr>
      <w:r>
        <w:rPr>
          <w:sz w:val="24"/>
        </w:rPr>
        <w:t>1.乙方加强对负责项目工作的乙方人员的廉洁教育，主动如实向甲方报告是否与甲方的员工存在利益关联或亲属关系的情况；</w:t>
      </w:r>
    </w:p>
    <w:p>
      <w:pPr>
        <w:pStyle w:val="null3"/>
        <w:ind w:firstLine="480"/>
        <w:jc w:val="both"/>
      </w:pPr>
      <w:r>
        <w:rPr>
          <w:sz w:val="24"/>
        </w:rPr>
        <w:t>2.业务活动坚持“公开、公正、诚信、透明”原则，乙方不得与甲方人员就业务事项进行私下商谈或者达成默契，不得与其他单位串通投标，不得采取不正当手段竞争业务；</w:t>
      </w:r>
    </w:p>
    <w:p>
      <w:pPr>
        <w:pStyle w:val="null3"/>
        <w:ind w:firstLine="480"/>
        <w:jc w:val="both"/>
      </w:pPr>
      <w:r>
        <w:rPr>
          <w:sz w:val="24"/>
        </w:rPr>
        <w:t>3.乙方承诺杜绝公司、企业及主要负责人、业务人员实施商业贿赂行为，不以任何名义宴请甲方人员及其亲属，或为甲方人员及其亲属提供娱乐服务、免费旅游、房屋装修、出国留学或其</w:t>
      </w:r>
      <w:r>
        <w:rPr>
          <w:sz w:val="24"/>
        </w:rPr>
        <w:t>他</w:t>
      </w:r>
      <w:r>
        <w:rPr>
          <w:sz w:val="24"/>
        </w:rPr>
        <w:t>财产性利益，或赠送礼品、礼金及有价证券等，不以任何其他方式为甲方人员及其亲属赠送、提供其他未列举的任何形式的好处和利益；</w:t>
      </w:r>
    </w:p>
    <w:p>
      <w:pPr>
        <w:pStyle w:val="null3"/>
        <w:ind w:firstLine="480"/>
        <w:jc w:val="both"/>
      </w:pPr>
      <w:r>
        <w:rPr>
          <w:sz w:val="24"/>
        </w:rPr>
        <w:t>4.乙方在业务活动过程中发现甲方人员有不廉洁的行为，应及时向甲方责任科室或其分管领导和纪检部门汇报，由甲方采取措施终止其不廉洁行为的继续发生。</w:t>
      </w:r>
    </w:p>
    <w:p>
      <w:pPr>
        <w:pStyle w:val="null3"/>
        <w:ind w:firstLine="480"/>
        <w:jc w:val="both"/>
      </w:pPr>
      <w:r>
        <w:rPr>
          <w:sz w:val="24"/>
        </w:rPr>
        <w:t>三、违约的处理</w:t>
      </w:r>
    </w:p>
    <w:p>
      <w:pPr>
        <w:pStyle w:val="null3"/>
        <w:ind w:firstLine="480"/>
        <w:jc w:val="both"/>
      </w:pPr>
      <w:r>
        <w:rPr>
          <w:sz w:val="24"/>
        </w:rPr>
        <w:t>1.甲乙双方如违反上述协议任何一条，被发现或被投诉，一经查实，即构成违约。如甲方违约，按管理权限，依据有关规定，给予党纪、政纪或组织处理；如乙方违约，甲方有权立即终止与乙方的所有项目合同和其他一切业务，并由乙方赔偿甲方因此造成的损失以及发生的一切费用；涉嫌犯罪的，移交司法机关处理。</w:t>
      </w:r>
    </w:p>
    <w:p>
      <w:pPr>
        <w:pStyle w:val="null3"/>
        <w:ind w:firstLine="480"/>
        <w:jc w:val="both"/>
      </w:pPr>
      <w:r>
        <w:rPr>
          <w:sz w:val="24"/>
        </w:rPr>
        <w:t>2.如乙方被政府部门列入商业贿赂不良记录，则严格按照《中华人民共和国民法典》、《中华人民共和国反不正当竞争法》、《中华人民共和国招标投标法》、《关于禁止商业贿赂行为的暂行规定》等国家相关法律法规和其他相关规定处理。</w:t>
      </w:r>
    </w:p>
    <w:p>
      <w:pPr>
        <w:pStyle w:val="null3"/>
        <w:ind w:firstLine="480"/>
        <w:jc w:val="both"/>
      </w:pPr>
      <w:r>
        <w:rPr>
          <w:sz w:val="24"/>
        </w:rPr>
        <w:t>四、本协议作为甲乙双方业务合同的重要组成部分，与业务合同一并执行，具有同等法律效力。</w:t>
      </w:r>
    </w:p>
    <w:p>
      <w:pPr>
        <w:pStyle w:val="null3"/>
        <w:ind w:firstLine="480"/>
        <w:jc w:val="both"/>
      </w:pPr>
      <w:r>
        <w:rPr>
          <w:sz w:val="24"/>
        </w:rPr>
        <w:t>五、本协议一式两份，甲、乙双方各执一份，并从签订之日起生效。</w:t>
      </w:r>
    </w:p>
    <w:p>
      <w:pPr>
        <w:pStyle w:val="null3"/>
        <w:ind w:firstLine="480"/>
        <w:jc w:val="both"/>
      </w:pPr>
      <w:r>
        <w:rPr>
          <w:sz w:val="24"/>
        </w:rPr>
        <w:t>甲方（盖章）：广州医科大学附属第一医院</w:t>
      </w:r>
      <w:r>
        <w:rPr>
          <w:sz w:val="24"/>
        </w:rPr>
        <w:t xml:space="preserve">   </w:t>
      </w:r>
      <w:r>
        <w:rPr>
          <w:sz w:val="24"/>
        </w:rPr>
        <w:t>乙方（盖章）：</w:t>
      </w:r>
      <w:r>
        <w:rPr>
          <w:sz w:val="24"/>
        </w:rPr>
        <w:t xml:space="preserve">         </w:t>
      </w:r>
    </w:p>
    <w:p>
      <w:pPr>
        <w:pStyle w:val="null3"/>
        <w:ind w:firstLine="432"/>
        <w:jc w:val="both"/>
      </w:pPr>
      <w:r>
        <w:rPr>
          <w:sz w:val="24"/>
        </w:rPr>
        <w:t>法定代表人（签字）：</w:t>
      </w:r>
      <w:r>
        <w:rPr>
          <w:sz w:val="24"/>
        </w:rPr>
        <w:t xml:space="preserve">                        </w:t>
      </w:r>
      <w:r>
        <w:rPr>
          <w:sz w:val="24"/>
        </w:rPr>
        <w:t>法定代表人（签字）：</w:t>
      </w:r>
      <w:r>
        <w:rPr>
          <w:sz w:val="24"/>
        </w:rPr>
        <w:t xml:space="preserve">         </w:t>
      </w:r>
    </w:p>
    <w:p>
      <w:pPr>
        <w:pStyle w:val="null3"/>
        <w:ind w:firstLine="480"/>
        <w:jc w:val="both"/>
      </w:pPr>
      <w:r>
        <w:rPr>
          <w:sz w:val="24"/>
        </w:rPr>
        <w:t>委托代理人（签字）：</w:t>
      </w:r>
      <w:r>
        <w:rPr>
          <w:sz w:val="24"/>
        </w:rPr>
        <w:t xml:space="preserve">                        </w:t>
      </w:r>
      <w:r>
        <w:rPr>
          <w:sz w:val="24"/>
        </w:rPr>
        <w:t>委托代理人（签字）：</w:t>
      </w:r>
    </w:p>
    <w:p>
      <w:pPr>
        <w:pStyle w:val="null3"/>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440101-2026-13607</w:t>
      </w:r>
    </w:p>
    <w:p>
      <w:pPr>
        <w:pStyle w:val="null3"/>
        <w:jc w:val="center"/>
        <w:outlineLvl w:val="3"/>
      </w:pPr>
      <w:r>
        <w:rPr>
          <w:sz w:val="24"/>
          <w:b/>
        </w:rPr>
        <w:t>采购项目编号：</w:t>
      </w:r>
      <w:r>
        <w:rPr>
          <w:sz w:val="24"/>
          <w:b/>
        </w:rPr>
        <w:t>3587-2612GZG10810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医疗设备采购项目</w:t>
      </w:r>
      <w:r>
        <w:rPr>
          <w:u w:val="single"/>
        </w:rPr>
        <w:t>”</w:t>
      </w:r>
      <w:r>
        <w:rPr/>
        <w:t>项目的招标[采购项目编号为：</w:t>
      </w:r>
      <w:r>
        <w:rPr>
          <w:u w:val="single"/>
        </w:rPr>
        <w:t>3587-2612GZG10810</w:t>
      </w:r>
      <w:r>
        <w:rPr/>
        <w:t>]，我方愿参与投标。</w:t>
      </w:r>
    </w:p>
    <w:p>
      <w:pPr>
        <w:pStyle w:val="null3"/>
        <w:ind w:firstLine="480"/>
      </w:pPr>
      <w:r>
        <w:rPr/>
        <w:t>我方确认收到贵方提供的</w:t>
      </w:r>
      <w:r>
        <w:rPr>
          <w:u w:val="single"/>
        </w:rPr>
        <w:t>“</w:t>
      </w:r>
      <w:r>
        <w:rPr>
          <w:u w:val="single"/>
        </w:rPr>
        <w:t>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医疗设备采购项目</w:t>
      </w:r>
      <w:r>
        <w:rPr/>
        <w:t>”项目采购[采购项目编号为</w:t>
      </w:r>
      <w:r>
        <w:rPr/>
        <w:t>3587-2612GZG10810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广州医科大学附属第一医院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医疗设备采购项目</w:t>
      </w:r>
      <w:r>
        <w:rPr/>
        <w:t>招标中获中标（采购项目编号：</w:t>
      </w:r>
      <w:r>
        <w:rPr/>
        <w:t>3587-2612GZG10810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