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440101-2026-00692</w:t>
      </w:r>
    </w:p>
    <w:p>
      <w:pPr>
        <w:pStyle w:val="null3"/>
        <w:jc w:val="center"/>
        <w:outlineLvl w:val="3"/>
      </w:pPr>
      <w:r>
        <w:rPr>
          <w:sz w:val="24"/>
          <w:b/>
        </w:rPr>
        <w:t>采购项目编号：</w:t>
      </w:r>
      <w:r>
        <w:rPr>
          <w:sz w:val="24"/>
          <w:b/>
        </w:rPr>
        <w:t>3587-2512GZG11212</w:t>
      </w:r>
    </w:p>
    <w:p>
      <w:pPr>
        <w:pStyle w:val="null3"/>
        <w:jc w:val="center"/>
        <w:outlineLvl w:val="3"/>
      </w:pPr>
      <w:r>
        <w:rPr>
          <w:sz w:val="24"/>
          <w:b/>
        </w:rPr>
        <w:t>项目名称：</w:t>
      </w:r>
      <w:r>
        <w:rPr>
          <w:sz w:val="24"/>
          <w:b/>
        </w:rPr>
        <w:t>广州医科大学附属第二医院采购医疗设备招标项目</w:t>
      </w:r>
    </w:p>
    <w:p>
      <w:pPr>
        <w:pStyle w:val="null3"/>
        <w:jc w:val="center"/>
        <w:outlineLvl w:val="3"/>
      </w:pPr>
      <w:r>
        <w:rPr>
          <w:sz w:val="24"/>
          <w:b/>
        </w:rPr>
        <w:t>采购人：</w:t>
      </w:r>
      <w:r>
        <w:rPr>
          <w:sz w:val="24"/>
          <w:b/>
        </w:rPr>
        <w:t>广州医科大学附属第二医院</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广东信诚招标代理咨询有限公司</w:t>
      </w:r>
      <w:r>
        <w:rPr/>
        <w:t>受</w:t>
      </w:r>
      <w:r>
        <w:rPr/>
        <w:t>广州医科大学附属第二医院</w:t>
      </w:r>
      <w:r>
        <w:rPr/>
        <w:t>的委托，采用</w:t>
      </w:r>
      <w:r>
        <w:rPr/>
        <w:t>公开招标</w:t>
      </w:r>
      <w:r>
        <w:rPr/>
        <w:t>方式组织采购</w:t>
      </w:r>
      <w:r>
        <w:rPr/>
        <w:t>广州医科大学附属第二医院采购医疗设备招标项目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广州医科大学附属第二医院采购医疗设备招标项目</w:t>
      </w:r>
    </w:p>
    <w:p>
      <w:pPr>
        <w:pStyle w:val="null3"/>
        <w:ind w:firstLine="480"/>
      </w:pPr>
      <w:r>
        <w:rPr/>
        <w:t>采购计划编号：</w:t>
      </w:r>
      <w:r>
        <w:rPr/>
        <w:t>440101-2026-00692</w:t>
      </w:r>
    </w:p>
    <w:p>
      <w:pPr>
        <w:pStyle w:val="null3"/>
        <w:ind w:firstLine="480"/>
      </w:pPr>
      <w:r>
        <w:rPr/>
        <w:t>采购项目编号：</w:t>
      </w:r>
      <w:r>
        <w:rPr/>
        <w:t>3587-2512GZG11212</w:t>
      </w:r>
    </w:p>
    <w:p>
      <w:pPr>
        <w:pStyle w:val="null3"/>
        <w:ind w:firstLine="480"/>
      </w:pPr>
      <w:r>
        <w:rPr/>
        <w:t>采购方式：</w:t>
      </w:r>
      <w:r>
        <w:rPr/>
        <w:t>公开招标</w:t>
      </w:r>
    </w:p>
    <w:p>
      <w:pPr>
        <w:pStyle w:val="null3"/>
        <w:ind w:firstLine="480"/>
      </w:pPr>
      <w:r>
        <w:rPr/>
        <w:t>预算金额：</w:t>
      </w:r>
      <w:r>
        <w:rPr/>
        <w:t>1,140,000.00</w:t>
      </w:r>
      <w:r>
        <w:rPr/>
        <w:t>元</w:t>
      </w:r>
    </w:p>
    <w:p>
      <w:pPr>
        <w:pStyle w:val="null3"/>
        <w:outlineLvl w:val="3"/>
      </w:pPr>
      <w:r>
        <w:rPr>
          <w:sz w:val="24"/>
          <w:b/>
        </w:rPr>
        <w:t>2.项目内容及需求情况（采购项目技术规格、参数及要求）</w:t>
      </w:r>
    </w:p>
    <w:p>
      <w:pPr>
        <w:pStyle w:val="null3"/>
      </w:pPr>
      <w:r>
        <w:rPr/>
        <w:t>采购包1(主动脉内球囊反搏泵):</w:t>
      </w:r>
    </w:p>
    <w:p>
      <w:pPr>
        <w:pStyle w:val="null3"/>
      </w:pPr>
      <w:r>
        <w:rPr/>
        <w:t>采购包预算金额：1,140,000.00元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急救和生命支持设备</w:t>
            </w:r>
          </w:p>
        </w:tc>
        <w:tc>
          <w:tcPr>
            <w:tcW w:type="dxa" w:w="2052"/>
          </w:tcPr>
          <w:p>
            <w:pPr>
              <w:pStyle w:val="null3"/>
            </w:pPr>
            <w:r>
              <w:rPr/>
              <w:t>主动脉内球囊反搏泵</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1,140,000.00</w:t>
            </w:r>
          </w:p>
        </w:tc>
        <w:tc>
          <w:tcPr>
            <w:tcW w:type="dxa" w:w="97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合同履行期限：签订合同后30天内到货。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2）有依法缴纳税收和社会保障资金的良好记录：提供书面声明（格式自定）或相关证明材料；若已对接“粤省事”、“粤商通”、“粤信签”等系统的，可提供书面声明函（格式自拟）；</w:t>
      </w:r>
    </w:p>
    <w:p>
      <w:pPr>
        <w:pStyle w:val="null3"/>
      </w:pPr>
      <w:r>
        <w:rPr/>
        <w:t>3）具有良好的商业信誉和健全的财务会计制度：提供书面声明（格式自定）或相关证明材料；若已对接“粤省事”、“粤商通”、“粤信签”等系统的，可提供书面声明函（格式自拟）；</w:t>
      </w:r>
    </w:p>
    <w:p>
      <w:pPr>
        <w:pStyle w:val="null3"/>
      </w:pPr>
      <w:r>
        <w:rPr/>
        <w:t>4）履行合同所必需的设备和专业技术能力：提供书面声明（格式自定）或相关证明材料；</w:t>
      </w:r>
    </w:p>
    <w:p>
      <w:pPr>
        <w:pStyle w:val="null3"/>
      </w:pPr>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6）法律、行政法规规定的其他条件：按投标函相关承诺要求内容。</w:t>
      </w:r>
    </w:p>
    <w:p>
      <w:pPr>
        <w:pStyle w:val="null3"/>
        <w:outlineLvl w:val="3"/>
      </w:pPr>
      <w:r>
        <w:rPr>
          <w:sz w:val="24"/>
          <w:b/>
        </w:rPr>
        <w:t>2.落实政府采购政策需满足的资格要求：</w:t>
      </w:r>
    </w:p>
    <w:p>
      <w:pPr>
        <w:pStyle w:val="null3"/>
        <w:jc w:val="left"/>
      </w:pPr>
      <w:r>
        <w:rPr/>
        <w:t>采购包1（主动脉内球囊反搏泵）：</w:t>
      </w:r>
      <w:r>
        <w:rPr/>
        <w:t>无，本采购包不属于专门面向中小企业采购的项目。本采购包的中小企业划分标准所属行业为：工业。</w:t>
      </w:r>
    </w:p>
    <w:p>
      <w:pPr>
        <w:pStyle w:val="null3"/>
        <w:outlineLvl w:val="3"/>
      </w:pPr>
      <w:r>
        <w:rPr>
          <w:sz w:val="24"/>
          <w:b/>
        </w:rPr>
        <w:t>3.本项目特定的资格要求：</w:t>
      </w:r>
    </w:p>
    <w:p>
      <w:pPr>
        <w:pStyle w:val="null3"/>
      </w:pPr>
      <w:r>
        <w:rPr/>
        <w:t>采购包1（主动脉内球囊反搏泵）：</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需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3)投标人应具有有效的且与所投项目相适应的医疗器械生产许可或经营许可，即： 如投标人为所投产品的生产企业：所投产品为第二、三类医疗器械，提供药品监督管理部门签发的有效的《医疗器械生产许可证》复印件（如国家另有规定，则适用其规定）。 如投标人为经营企业：所投产品为第三类医疗器械，提供药品监督管理部门签发的有效的《医疗器械经营许可证》复印件（如国家另有规定，则适用其规定）。（如投标人所在地实施“一照通行”相关政策，其第三类医疗器械经营许可事项以二维码形式集中反映在营业执照上的，应提供扫描二维码后反映的有效许可事项信息截图。）</w:t>
      </w:r>
    </w:p>
    <w:p>
      <w:pPr>
        <w:pStyle w:val="null3"/>
      </w:pPr>
      <w:r>
        <w:rPr/>
        <w:t>4)本采购包不接受联合体投标。提供书面声明（格式自定）。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 （http://www.cfen.com.cn/），广东信诚招标代理咨询有限公司(http://www.gdxczb.cn/)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广州医科大学附属第二医院</w:t>
      </w:r>
    </w:p>
    <w:p>
      <w:pPr>
        <w:pStyle w:val="null3"/>
        <w:ind w:firstLine="480"/>
      </w:pPr>
      <w:r>
        <w:rPr/>
        <w:t xml:space="preserve"> 地址：</w:t>
      </w:r>
      <w:r>
        <w:rPr/>
        <w:t>广州市海珠区昌岗东路250号</w:t>
      </w:r>
    </w:p>
    <w:p>
      <w:pPr>
        <w:pStyle w:val="null3"/>
        <w:ind w:firstLine="480"/>
      </w:pPr>
      <w:r>
        <w:rPr/>
        <w:t xml:space="preserve"> 联系方式：</w:t>
      </w:r>
      <w:r>
        <w:rPr/>
        <w:t>020-34153258</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何工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（一）简要采购内容：</w:t>
      </w:r>
    </w:p>
    <w:p>
      <w:pPr>
        <w:pStyle w:val="null3"/>
        <w:jc w:val="left"/>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872"/>
        <w:gridCol w:w="2734"/>
        <w:gridCol w:w="1294"/>
        <w:gridCol w:w="1600"/>
        <w:gridCol w:w="1774"/>
      </w:tblGrid>
      <w:tr>
        <w:tc>
          <w:tcPr>
            <w:tcW w:type="dxa" w:w="87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序号</w:t>
            </w:r>
          </w:p>
        </w:tc>
        <w:tc>
          <w:tcPr>
            <w:tcW w:type="dxa" w:w="2734"/>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标的名称</w:t>
            </w:r>
          </w:p>
        </w:tc>
        <w:tc>
          <w:tcPr>
            <w:tcW w:type="dxa" w:w="1294"/>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数量</w:t>
            </w:r>
          </w:p>
        </w:tc>
        <w:tc>
          <w:tcPr>
            <w:tcW w:type="dxa" w:w="1600"/>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计量单位</w:t>
            </w:r>
          </w:p>
        </w:tc>
        <w:tc>
          <w:tcPr>
            <w:tcW w:type="dxa" w:w="1774"/>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最高限价</w:t>
            </w:r>
            <w:r>
              <w:rPr>
                <w:sz w:val="21"/>
                <w:b/>
              </w:rPr>
              <w:t>(元)</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主动脉内球囊反搏泵</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
              <w:jc w:val="center"/>
            </w:pPr>
            <w:r>
              <w:rPr>
                <w:sz w:val="21"/>
              </w:rPr>
              <w:t>1,140,000.00</w:t>
            </w:r>
          </w:p>
        </w:tc>
      </w:tr>
    </w:tbl>
    <w:p>
      <w:pPr>
        <w:pStyle w:val="null3"/>
        <w:ind w:firstLine="482"/>
        <w:jc w:val="both"/>
      </w:pPr>
      <w:r>
        <w:rPr>
          <w:sz w:val="24"/>
          <w:b/>
        </w:rPr>
        <w:t>（二）采购项目说明</w:t>
      </w:r>
    </w:p>
    <w:p>
      <w:pPr>
        <w:pStyle w:val="null3"/>
        <w:ind w:firstLine="480"/>
        <w:jc w:val="both"/>
      </w:pPr>
      <w:r>
        <w:rPr>
          <w:sz w:val="24"/>
        </w:rPr>
        <w:t>1.详细招标要求及需求请参阅招标文件中采购项目内容。</w:t>
      </w:r>
    </w:p>
    <w:p>
      <w:pPr>
        <w:pStyle w:val="null3"/>
        <w:ind w:firstLine="480"/>
        <w:jc w:val="both"/>
      </w:pPr>
      <w:r>
        <w:rPr>
          <w:sz w:val="24"/>
        </w:rPr>
        <w:t>2.投标人必须对所投项目全部内容进行投标，不允许只对所投项目其中部分内容进行投标。如有缺漏的，将导致投标无效。</w:t>
      </w:r>
    </w:p>
    <w:p>
      <w:pPr>
        <w:pStyle w:val="null3"/>
        <w:ind w:firstLine="480"/>
        <w:jc w:val="both"/>
      </w:pPr>
      <w:r>
        <w:rPr>
          <w:sz w:val="24"/>
        </w:rPr>
        <w:t>3.需要落实的政府采购政策：《政府采购促进中小企业发展管理办法》（财库〔2020〕46号）、《关于政府采购支持监狱企业发展有关问题的通知》(财库〔2014〕68号)、《关于促进残疾人就业政府采购政策的通知》（财库〔2017〕141号)、《关于印发环境标志产品政府采购品目清单的通知》（财库〔2019〕18号）、《关于调整优化节能产品、环境标志产品政府采购执行机制的通知》（财库〔2019〕9号）等。</w:t>
      </w:r>
    </w:p>
    <w:p>
      <w:pPr>
        <w:pStyle w:val="null3"/>
      </w:pPr>
      <w:r>
        <w:rPr/>
        <w:t>采购包1（主动脉内球囊反搏泵）</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签订合同后30天内到货。</w:t>
            </w:r>
          </w:p>
        </w:tc>
      </w:tr>
      <w:tr>
        <w:tc>
          <w:tcPr>
            <w:tcW w:type="dxa" w:w="4153"/>
          </w:tcPr>
          <w:p>
            <w:pPr>
              <w:pStyle w:val="null3"/>
            </w:pPr>
            <w:r>
              <w:rPr/>
              <w:t>标的提供的地点</w:t>
            </w:r>
          </w:p>
        </w:tc>
        <w:tc>
          <w:tcPr>
            <w:tcW w:type="dxa" w:w="4153"/>
          </w:tcPr>
          <w:p>
            <w:pPr>
              <w:pStyle w:val="null3"/>
            </w:pPr>
            <w:r>
              <w:rPr/>
              <w:t>广州医科大学附属第二医院指定地点，交货过程中所需的人力和工具及其所发生的一切费用由中标人负责。</w:t>
            </w:r>
          </w:p>
        </w:tc>
      </w:tr>
      <w:tr>
        <w:tc>
          <w:tcPr>
            <w:tcW w:type="dxa" w:w="4153"/>
          </w:tcPr>
          <w:p>
            <w:pPr>
              <w:pStyle w:val="null3"/>
            </w:pPr>
            <w:r>
              <w:rPr/>
              <w:t>付款方式</w:t>
            </w:r>
          </w:p>
        </w:tc>
        <w:tc>
          <w:tcPr>
            <w:tcW w:type="dxa" w:w="4153"/>
          </w:tcPr>
          <w:p>
            <w:pPr>
              <w:pStyle w:val="null3"/>
            </w:pPr>
            <w:r>
              <w:rPr/>
              <w:t>1期：支付比例100%,本项目每笔款项以人民币方式支付，支付的时间和金额如下：设备到采购人指定时间指定地点交付并清点货物齐全、完成安装调试、使用培训、验收合格后凭： （1）安装验收调试报告、厂家售后服务承诺书等相关资料。 （2）中标人开具的全额正式发票（加盖中标人公章）。 在支付材料齐全情况下，采购人办理支付中标人100%的货款。</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本项目合同货物安装调试完成并移交所有资料文档后且收到中标人项目验收建议之日起7个工作日内验收，验收应在采购人和中标人双方共同参加下进行。采购人验收前，货物毁损灭失的风险全部由中标人承担，验收时间点以采购人的安装验收报告验收时间为准。 2.验收按国家有关的规定、规范进行。验收时如发现所交付的设备有短装、次品、损坏或其它不符合本项目合同规定之情形者，采购人应做出详尽的现场记录，或由采购人和中标人双方签署备忘录。此现场记录或备忘录可用作补充、缺失和更换损坏部件的有效证据。由此产生的有关费用由中标人承担，验收期限相应后延。 3.如果本项目合同设备运输和安装调试过程中因事故造成货物短缺、损坏，中标人应及时安排换装，以保证本项目合同设备安装调试的成功完成。换货的相关费用由中标人承担。 4.国内产品或合资厂的产品必须具备出厂合格证、产品使用说明书、保修证明。 5.进口产品必须具备商检部门的检验证明。</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1.1 本项目的报价和结算支付均以人民币为货币单位。 1.2 投标人总报价应包括货物设计、制造、包装、仓储、装卸、运输、保险、货物进口所需办理海关手续的费用以及为进口应缴纳的一切关税、安装调试、检测、验收合格之前及保修期内保修服务、培训、辅导、备品备件等发生的所有含税费用及不可预见费用。本项目合同执行期间合同总金额不变。 1.3 投标人应自行增加设备正常、合法、安全运行及使用所必须但招标文件没有包含的所有设备、版权、专利等一切费用。 1.4 投标人必须对项目全部内容进行投标，不允许只对其中部分内容进行投标。 1.5 本项目投标总报价不得高于采购预算，否则报价无效、投标文件作无效投标处理。 1.6 投标人应被认为在填报投标报价之前，已经仔细阅读了本招标文件的所有有关章节以及审查了所有相关资料，已确保本次招标的所有招标范围内的各种价格风险均已包含在投标报价内。开标后，任何因投标人的疏漏而提出的不利于采购人的另行支付与本项目相关的任何费用的申请将不被接受。 二、其他说明： 2.1 根据《广州市政府采购文件编制指导意见（2021年修订）》，第二中标候选人报价高于第一中标候选人报价20%以上的，只推荐1名中标候选人。 2.2 若招标文件中产品名称与投标人实际所能提供的厂家产品名称存在差异，投标人在投标时需标注出两个产品名称，例如A为招标文件产品名称，B为实际厂家产品名称，则投标时产品名称为“A（B）”。 2.3 响应且遵守《廉洁购销合同》的各项条款。（具体见本项目招标公告附件） ★2.4 如投标人为经营企业： 所投产品为第二类医疗器械，投标时应承诺于供货时提供药品监督管理部门签发的医疗器械经营备案凭证复印件（提供承诺函并加盖投标人公章，不提供视为不响应)。如投标人在投标时已具备该备案凭证的，可在投标时提供复印件加盖投标人公章，视为响应。（如投标人所在地实施“一照通行”相关政策，其第二类医疗器械经营备案事项以二维码形式集中反映在营业执照上的，应提供扫描二维码后反映的有效事项信息截图。） ★2.5 根据财政部、国家发展改革委、生态环境部、市场监管总局发布的《关于调整优化节能产品、环境标志产品政府采购执行机制的通知》（财库〔2019〕9 号）的规定，采购人拟采购的产品属于最新一期节能产品强制采购品目清单范围的，投标人必须提供政府强制采购的节能产品且必须于投标文件中提供投标产品所在品目清单页及国家确定的认证机构出具的、处于有效期之内的节能产品认证证书复印件加盖投标人公章。（如是，须提供） 注：打“★”号条款为实质性条款，投标时必须响应满足或实质性优于。若有任何一条负偏离或不满足则导致其投标将被认定为不能满足招标文件要求而作为无效投标处理。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质量保证及售后服务</w:t>
            </w:r>
          </w:p>
        </w:tc>
        <w:tc>
          <w:tcPr>
            <w:tcW w:type="dxa" w:w="2076"/>
          </w:tcPr>
          <w:p>
            <w:pPr>
              <w:pStyle w:val="null3"/>
              <w:jc w:val="left"/>
            </w:pPr>
            <w:r>
              <w:rPr/>
              <w:t>1.1 中标人保证合同设备是全新、未曾使用过的，其质量、规格及技术特征符合合同附件的要求。每台货物上均应钉有铭牌（内容包括：制造商、货物名称、型号规格、出厂日期、机身号等）并附有产品质量检验合格标志及复印进口产品报关单和商检证明并统一加盖中标人公章。中标人应提供货物的装箱清单、用户手册、保修卡（或保修文件）、随机资料及配件、随机工具等；中标人不能完整交付上述资料的，视为未按合同约定付货。 1.2 合同设备免费保修期按生产厂家的标准执行；自验收之日起免费保修期整机保修≥ 3 年，提供厂家售后服务承诺书。所配软件为最新版本，承诺终身免费升级软件。免费保修期内非采购人的人为原因而出现产品质量及安装问题，由中标人负责包修、包换或包退，并承担因此而产生的一切费用，同时，相应延长免费保修期。中标人应在收到采购人通知后派员到现场维修。 下列情况中标人不负责免费保修： （1）采购人不按照中标人提供的正确使用方法而引致设备故障损坏； （2）擅自改装设备； （3）各种人为因素或天灾等外来因素造成的损坏。 1.3 货物交付使用后以书面形式承诺维修服务，实行终身维护： 保修期内，发生故障，服务人员接到采购人报修电话后应 1小时 内响应：如电话不能解决问题，服务人员应 24小时 内到现场排查。若未能在此时间内到达现场进行排查的，视同发生违约，每违约一次，延长本项目的保修期 10 天。 1.4 保修期内所有保修服务方式均为中标人上门保修，即由中标人派员到采购人设备使用现场维修，由此产生的一切费用均由中标人承担。 1.5 因设备的质量问题而发生争议，由广东省或广州市质检部门进行质量鉴定。设备符合质量标准的，鉴定费用由采购人承担；设备不符合质量标准的，鉴定费用由中标人承担。 1.6 中标人为采购人提供操作及维护培训，主要内容为设备的基本结构、性能、主要部件的构造及原理，日常使用操作、保养与管理，常见故障的排除，紧急情况的处理等，培训地点主要在设备安装现场或按采购人和中标人双方协商安排。培训标准以采购人相关人员掌握设备性能及熟练安全操作为准。 1.7 中标人对采购人提供及时充足的零备件供应，保证 10 年以上供应期。</w:t>
            </w:r>
          </w:p>
        </w:tc>
      </w:tr>
      <w:tr>
        <w:tc>
          <w:tcPr>
            <w:tcW w:type="dxa" w:w="2076"/>
          </w:tcPr>
          <w:p/>
        </w:tc>
        <w:tc>
          <w:tcPr>
            <w:tcW w:type="dxa" w:w="2076"/>
          </w:tcPr>
          <w:p>
            <w:pPr>
              <w:pStyle w:val="null3"/>
              <w:jc w:val="center"/>
            </w:pPr>
            <w:r>
              <w:rPr/>
              <w:t>2</w:t>
            </w:r>
          </w:p>
        </w:tc>
        <w:tc>
          <w:tcPr>
            <w:tcW w:type="dxa" w:w="2076"/>
          </w:tcPr>
          <w:p>
            <w:pPr>
              <w:pStyle w:val="null3"/>
              <w:jc w:val="left"/>
            </w:pPr>
            <w:r>
              <w:rPr/>
              <w:t>包装</w:t>
            </w:r>
          </w:p>
        </w:tc>
        <w:tc>
          <w:tcPr>
            <w:tcW w:type="dxa" w:w="2076"/>
          </w:tcPr>
          <w:p>
            <w:pPr>
              <w:pStyle w:val="null3"/>
              <w:jc w:val="left"/>
            </w:pPr>
            <w:r>
              <w:rPr/>
              <w:t>设备的包装均应有良好的防湿、防锈、防潮、防雨、防腐及防碰撞的措施。凡由于包装不良造成的损失和由此产生的费用均由中标人承担。</w:t>
            </w:r>
          </w:p>
        </w:tc>
      </w:tr>
      <w:tr>
        <w:tc>
          <w:tcPr>
            <w:tcW w:type="dxa" w:w="2076"/>
          </w:tcPr>
          <w:p/>
        </w:tc>
        <w:tc>
          <w:tcPr>
            <w:tcW w:type="dxa" w:w="2076"/>
          </w:tcPr>
          <w:p>
            <w:pPr>
              <w:pStyle w:val="null3"/>
              <w:jc w:val="center"/>
            </w:pPr>
            <w:r>
              <w:rPr/>
              <w:t>3</w:t>
            </w:r>
          </w:p>
        </w:tc>
        <w:tc>
          <w:tcPr>
            <w:tcW w:type="dxa" w:w="2076"/>
          </w:tcPr>
          <w:p>
            <w:pPr>
              <w:pStyle w:val="null3"/>
              <w:jc w:val="left"/>
            </w:pPr>
            <w:r>
              <w:rPr/>
              <w:t>设备的安装调试</w:t>
            </w:r>
          </w:p>
        </w:tc>
        <w:tc>
          <w:tcPr>
            <w:tcW w:type="dxa" w:w="2076"/>
          </w:tcPr>
          <w:p>
            <w:pPr>
              <w:pStyle w:val="null3"/>
              <w:jc w:val="left"/>
            </w:pPr>
            <w:r>
              <w:rPr/>
              <w:t>3.1.在货物到达采购人指定地点后，中标人应 2 天内派工程技术人员到达现场，并在采购人实际要求的天数内在采购人人员在场的情况下开箱清点货物，组织安装、调试，承担由此发生的一切费用。厂家从进场安装开始，应在 20 天内完成安装与调试。 3.2 货物安装后，中标人应向用户提交本机安装调试报告（如有），以及按厂方标准进行的各项检测数据。中标人应向采购人提交详细的安装、调试及验收过程中所有相关文档。</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急救和生命支持设备</w:t>
            </w:r>
          </w:p>
        </w:tc>
        <w:tc>
          <w:tcPr>
            <w:tcW w:type="dxa" w:w="831"/>
          </w:tcPr>
          <w:p>
            <w:pPr>
              <w:pStyle w:val="null3"/>
              <w:jc w:val="left"/>
            </w:pPr>
            <w:r>
              <w:rPr/>
              <w:t>主动脉内球囊反搏泵</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1,140,000.00</w:t>
            </w:r>
          </w:p>
        </w:tc>
        <w:tc>
          <w:tcPr>
            <w:tcW w:type="dxa" w:w="831"/>
          </w:tcPr>
          <w:p>
            <w:pPr>
              <w:pStyle w:val="null3"/>
              <w:jc w:val="right"/>
            </w:pPr>
            <w:r>
              <w:rPr/>
              <w:t>1,140,000.00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主动脉内球囊反搏泵</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一、总体要求</w:t>
            </w:r>
          </w:p>
          <w:p>
            <w:pPr>
              <w:pStyle w:val="null3"/>
              <w:jc w:val="both"/>
            </w:pPr>
            <w:r>
              <w:rPr>
                <w:sz w:val="21"/>
              </w:rPr>
              <w:t>1.所投产品必须是合法注册有效周期内最新生产的产品，必须是制造商原厂制造。</w:t>
            </w:r>
          </w:p>
          <w:p>
            <w:pPr>
              <w:pStyle w:val="null3"/>
              <w:jc w:val="both"/>
            </w:pPr>
            <w:r>
              <w:rPr>
                <w:sz w:val="21"/>
              </w:rPr>
              <w:t>2.投标时必须提供以下证明材料：</w:t>
            </w:r>
          </w:p>
          <w:p>
            <w:pPr>
              <w:pStyle w:val="null3"/>
              <w:jc w:val="both"/>
            </w:pPr>
            <w:r>
              <w:rPr>
                <w:sz w:val="21"/>
              </w:rPr>
              <w:t>★（1）产品有效的医疗器械注册证（适用于二类或三类医疗器械）/医疗器械备案证（适用于一类医疗器械）；</w:t>
            </w:r>
          </w:p>
          <w:p>
            <w:pPr>
              <w:pStyle w:val="null3"/>
              <w:jc w:val="both"/>
            </w:pPr>
            <w:r>
              <w:rPr>
                <w:sz w:val="21"/>
              </w:rPr>
              <w:t>（</w:t>
            </w:r>
            <w:r>
              <w:rPr>
                <w:sz w:val="21"/>
              </w:rPr>
              <w:t>2）产品检验报告（至少包括封面、结论页、送检产品的外观页），并书面承诺：供货的设备与投标时提供的产品技术资料与标书响应内容完全一致，且符合我国有关技术规范和技术标准。</w:t>
            </w:r>
            <w:r>
              <w:rPr>
                <w:sz w:val="21"/>
                <w:b/>
              </w:rPr>
              <w:t>（承诺函格式自拟并加盖投标人公章）</w:t>
            </w:r>
          </w:p>
          <w:p>
            <w:pPr>
              <w:pStyle w:val="null3"/>
              <w:jc w:val="both"/>
            </w:pPr>
            <w:r>
              <w:rPr>
                <w:sz w:val="21"/>
                <w:b/>
              </w:rPr>
              <w:t>二、</w:t>
            </w:r>
            <w:r>
              <w:rPr>
                <w:sz w:val="21"/>
                <w:b/>
              </w:rPr>
              <w:t>技术要求</w:t>
            </w:r>
            <w:r>
              <w:rPr>
                <w:sz w:val="21"/>
                <w:b/>
              </w:rPr>
              <w:t>：</w:t>
            </w:r>
          </w:p>
          <w:p>
            <w:pPr>
              <w:pStyle w:val="null3"/>
              <w:jc w:val="both"/>
            </w:pPr>
            <w:r>
              <w:rPr>
                <w:sz w:val="21"/>
              </w:rPr>
              <w:t>（一）系统与便携性</w:t>
            </w:r>
          </w:p>
          <w:p>
            <w:pPr>
              <w:pStyle w:val="null3"/>
              <w:jc w:val="both"/>
            </w:pPr>
            <w:r>
              <w:rPr>
                <w:sz w:val="21"/>
              </w:rPr>
              <w:t>▲1. 主机轻巧便携，净重 ≤ 25 kg（含显示屏、操作面板及电池），适用于院内及各类转运场景。（提供投标产品彩页或厂家出具的技术白皮书或产品说明书</w:t>
            </w:r>
            <w:r>
              <w:rPr>
                <w:sz w:val="21"/>
              </w:rPr>
              <w:t>并加盖投标人公章</w:t>
            </w:r>
            <w:r>
              <w:rPr>
                <w:sz w:val="21"/>
              </w:rPr>
              <w:t>）</w:t>
            </w:r>
          </w:p>
          <w:p>
            <w:pPr>
              <w:pStyle w:val="null3"/>
              <w:jc w:val="both"/>
            </w:pPr>
            <w:r>
              <w:rPr>
                <w:sz w:val="21"/>
              </w:rPr>
              <w:t>▲2. 内置锂电池，续航时间 ≥ 180 分钟，支持热插拔更换，转运中可不间断使用。（提供投标产品彩页或厂家出具的技术白皮书或产品说明书</w:t>
            </w:r>
            <w:r>
              <w:rPr>
                <w:sz w:val="21"/>
              </w:rPr>
              <w:t>并加盖投标人公章</w:t>
            </w:r>
            <w:r>
              <w:rPr>
                <w:sz w:val="21"/>
              </w:rPr>
              <w:t>）</w:t>
            </w:r>
          </w:p>
          <w:p>
            <w:pPr>
              <w:pStyle w:val="null3"/>
              <w:jc w:val="both"/>
            </w:pPr>
            <w:r>
              <w:rPr>
                <w:sz w:val="21"/>
              </w:rPr>
              <w:t>3. 电源线具备自动回收功能，无需人工绕线。</w:t>
            </w:r>
          </w:p>
          <w:p>
            <w:pPr>
              <w:pStyle w:val="null3"/>
              <w:jc w:val="both"/>
            </w:pPr>
            <w:r>
              <w:rPr>
                <w:sz w:val="21"/>
              </w:rPr>
              <w:t>（二）气动与除凝系统</w:t>
            </w:r>
          </w:p>
          <w:p>
            <w:pPr>
              <w:pStyle w:val="null3"/>
              <w:jc w:val="both"/>
            </w:pPr>
            <w:r>
              <w:rPr>
                <w:sz w:val="21"/>
              </w:rPr>
              <w:t>▲4. 采用涡旋式压缩泵，充放气速度快，泵速可自适应患者心率动态调整。（提供投标产品彩页或厂家出具的技术白皮书或产品说明书</w:t>
            </w:r>
            <w:r>
              <w:rPr>
                <w:sz w:val="21"/>
              </w:rPr>
              <w:t>并加盖投标人公章</w:t>
            </w:r>
            <w:r>
              <w:rPr>
                <w:sz w:val="21"/>
              </w:rPr>
              <w:t>）</w:t>
            </w:r>
          </w:p>
          <w:p>
            <w:pPr>
              <w:pStyle w:val="null3"/>
              <w:jc w:val="both"/>
            </w:pPr>
            <w:r>
              <w:rPr>
                <w:sz w:val="21"/>
              </w:rPr>
              <w:t>▲5. 采用全氟磺酸除凝系统，持续自动除凝，无需积水瓶或电热除凝，亦无需人工倒水。（提供投标产品彩页或厂家出具的技术白皮书或产品说明书</w:t>
            </w:r>
            <w:r>
              <w:rPr>
                <w:sz w:val="21"/>
              </w:rPr>
              <w:t>并加盖投标人公章</w:t>
            </w:r>
            <w:r>
              <w:rPr>
                <w:sz w:val="21"/>
              </w:rPr>
              <w:t>）</w:t>
            </w:r>
          </w:p>
          <w:p>
            <w:pPr>
              <w:pStyle w:val="null3"/>
              <w:jc w:val="both"/>
            </w:pPr>
            <w:r>
              <w:rPr>
                <w:sz w:val="21"/>
              </w:rPr>
              <w:t xml:space="preserve">6. </w:t>
            </w:r>
            <w:r>
              <w:rPr>
                <w:sz w:val="21"/>
              </w:rPr>
              <w:t>配备可重复充装氦气瓶，可支持连续使用</w:t>
            </w:r>
            <w:r>
              <w:rPr>
                <w:sz w:val="21"/>
              </w:rPr>
              <w:t>≥ 3 个月（24 小时持续工作）。</w:t>
            </w:r>
          </w:p>
          <w:p>
            <w:pPr>
              <w:pStyle w:val="null3"/>
              <w:jc w:val="both"/>
            </w:pPr>
            <w:r>
              <w:rPr>
                <w:sz w:val="21"/>
              </w:rPr>
              <w:t>（三）操作与显示系统</w:t>
            </w:r>
          </w:p>
          <w:p>
            <w:pPr>
              <w:pStyle w:val="null3"/>
              <w:jc w:val="both"/>
            </w:pPr>
            <w:r>
              <w:rPr>
                <w:sz w:val="21"/>
              </w:rPr>
              <w:t>▲</w:t>
            </w:r>
            <w:r>
              <w:rPr>
                <w:sz w:val="21"/>
              </w:rPr>
              <w:t>7</w:t>
            </w:r>
            <w:r>
              <w:rPr>
                <w:sz w:val="21"/>
              </w:rPr>
              <w:t>.</w:t>
            </w:r>
            <w:r>
              <w:rPr>
                <w:sz w:val="21"/>
              </w:rPr>
              <w:t xml:space="preserve"> </w:t>
            </w:r>
            <w:r>
              <w:rPr>
                <w:sz w:val="21"/>
              </w:rPr>
              <w:t>采用全触摸操作，无需物理按键。（提供投标产品彩页或厂家出具的技术白皮书或产品说明书</w:t>
            </w:r>
            <w:r>
              <w:rPr>
                <w:sz w:val="21"/>
              </w:rPr>
              <w:t>并加盖投标人公章</w:t>
            </w:r>
            <w:r>
              <w:rPr>
                <w:sz w:val="21"/>
              </w:rPr>
              <w:t>）</w:t>
            </w:r>
          </w:p>
          <w:p>
            <w:pPr>
              <w:pStyle w:val="null3"/>
              <w:jc w:val="both"/>
            </w:pPr>
            <w:r>
              <w:rPr>
                <w:sz w:val="21"/>
              </w:rPr>
              <w:t>▲</w:t>
            </w:r>
            <w:r>
              <w:rPr>
                <w:sz w:val="21"/>
              </w:rPr>
              <w:t>8</w:t>
            </w:r>
            <w:r>
              <w:rPr>
                <w:sz w:val="21"/>
              </w:rPr>
              <w:t>.</w:t>
            </w:r>
            <w:r>
              <w:rPr>
                <w:sz w:val="21"/>
              </w:rPr>
              <w:t xml:space="preserve"> </w:t>
            </w:r>
            <w:r>
              <w:rPr>
                <w:sz w:val="21"/>
              </w:rPr>
              <w:t>配备可折叠彩色液晶屏，显示与操作区域分离，总尺寸</w:t>
            </w:r>
            <w:r>
              <w:rPr>
                <w:sz w:val="21"/>
              </w:rPr>
              <w:t>≥ 23 英寸。（提供投标产品彩页或厂家出具的技术白皮书或产品说明书</w:t>
            </w:r>
            <w:r>
              <w:rPr>
                <w:sz w:val="21"/>
              </w:rPr>
              <w:t>并加盖投标人公章</w:t>
            </w:r>
            <w:r>
              <w:rPr>
                <w:sz w:val="21"/>
              </w:rPr>
              <w:t>）</w:t>
            </w:r>
          </w:p>
          <w:p>
            <w:pPr>
              <w:pStyle w:val="null3"/>
              <w:jc w:val="both"/>
            </w:pPr>
            <w:r>
              <w:rPr>
                <w:sz w:val="21"/>
              </w:rPr>
              <w:t>9</w:t>
            </w:r>
            <w:r>
              <w:rPr>
                <w:sz w:val="21"/>
              </w:rPr>
              <w:t xml:space="preserve">. </w:t>
            </w:r>
            <w:r>
              <w:rPr>
                <w:sz w:val="21"/>
              </w:rPr>
              <w:t>实时显示球囊充放气状态、氦气容量及电池可用时间。</w:t>
            </w:r>
          </w:p>
          <w:p>
            <w:pPr>
              <w:pStyle w:val="null3"/>
              <w:jc w:val="both"/>
            </w:pPr>
            <w:r>
              <w:rPr>
                <w:sz w:val="21"/>
              </w:rPr>
              <w:t>1</w:t>
            </w:r>
            <w:r>
              <w:rPr>
                <w:sz w:val="21"/>
              </w:rPr>
              <w:t>0</w:t>
            </w:r>
            <w:r>
              <w:rPr>
                <w:sz w:val="21"/>
              </w:rPr>
              <w:t>.</w:t>
            </w:r>
            <w:r>
              <w:rPr>
                <w:sz w:val="21"/>
              </w:rPr>
              <w:t xml:space="preserve"> </w:t>
            </w:r>
            <w:r>
              <w:rPr>
                <w:sz w:val="21"/>
              </w:rPr>
              <w:t>支持中、英文等多语言界面，可按需切换。</w:t>
            </w:r>
          </w:p>
          <w:p>
            <w:pPr>
              <w:pStyle w:val="null3"/>
              <w:jc w:val="both"/>
            </w:pPr>
            <w:r>
              <w:rPr>
                <w:sz w:val="21"/>
              </w:rPr>
              <w:t>（四）安全与隔离装置</w:t>
            </w:r>
          </w:p>
          <w:p>
            <w:pPr>
              <w:pStyle w:val="null3"/>
              <w:jc w:val="both"/>
            </w:pPr>
            <w:r>
              <w:rPr>
                <w:sz w:val="21"/>
              </w:rPr>
              <w:t>▲1</w:t>
            </w:r>
            <w:r>
              <w:rPr>
                <w:sz w:val="21"/>
              </w:rPr>
              <w:t>1</w:t>
            </w:r>
            <w:r>
              <w:rPr>
                <w:sz w:val="21"/>
              </w:rPr>
              <w:t>.</w:t>
            </w:r>
            <w:r>
              <w:rPr>
                <w:sz w:val="21"/>
              </w:rPr>
              <w:t xml:space="preserve"> </w:t>
            </w:r>
            <w:r>
              <w:rPr>
                <w:sz w:val="21"/>
              </w:rPr>
              <w:t>具备安全盘隔离装置，将高压气动系统与导管系统隔离，保障患者安全。（提供投标产品彩页或厂家出具的技术白皮书或产品说明书</w:t>
            </w:r>
            <w:r>
              <w:rPr>
                <w:sz w:val="21"/>
              </w:rPr>
              <w:t>并加盖投标人公章</w:t>
            </w:r>
            <w:r>
              <w:rPr>
                <w:sz w:val="21"/>
              </w:rPr>
              <w:t>）</w:t>
            </w:r>
          </w:p>
          <w:p>
            <w:pPr>
              <w:pStyle w:val="null3"/>
              <w:jc w:val="both"/>
            </w:pPr>
            <w:r>
              <w:rPr>
                <w:sz w:val="21"/>
              </w:rPr>
              <w:t>1</w:t>
            </w:r>
            <w:r>
              <w:rPr>
                <w:sz w:val="21"/>
              </w:rPr>
              <w:t>2</w:t>
            </w:r>
            <w:r>
              <w:rPr>
                <w:sz w:val="21"/>
              </w:rPr>
              <w:t>.</w:t>
            </w:r>
            <w:r>
              <w:rPr>
                <w:sz w:val="21"/>
              </w:rPr>
              <w:t xml:space="preserve"> </w:t>
            </w:r>
            <w:r>
              <w:rPr>
                <w:sz w:val="21"/>
              </w:rPr>
              <w:t>支持光纤导管并兼容传统导管。</w:t>
            </w:r>
          </w:p>
          <w:p>
            <w:pPr>
              <w:pStyle w:val="null3"/>
              <w:jc w:val="both"/>
            </w:pPr>
            <w:r>
              <w:rPr>
                <w:sz w:val="21"/>
              </w:rPr>
              <w:t>▲1</w:t>
            </w:r>
            <w:r>
              <w:rPr>
                <w:sz w:val="21"/>
              </w:rPr>
              <w:t>3</w:t>
            </w:r>
            <w:r>
              <w:rPr>
                <w:sz w:val="21"/>
              </w:rPr>
              <w:t>.</w:t>
            </w:r>
            <w:r>
              <w:rPr>
                <w:sz w:val="21"/>
              </w:rPr>
              <w:t xml:space="preserve"> </w:t>
            </w:r>
            <w:r>
              <w:rPr>
                <w:sz w:val="21"/>
              </w:rPr>
              <w:t>使用光纤球囊时，系统自动调零，无需人工预先调零；支持定期自动或手动压力校准。（提供投标产品彩页或厂家出具的技术白皮书或产品说明书</w:t>
            </w:r>
            <w:r>
              <w:rPr>
                <w:sz w:val="21"/>
              </w:rPr>
              <w:t>并加盖投标人公章</w:t>
            </w:r>
            <w:r>
              <w:rPr>
                <w:sz w:val="21"/>
              </w:rPr>
              <w:t>）</w:t>
            </w:r>
          </w:p>
          <w:p>
            <w:pPr>
              <w:pStyle w:val="null3"/>
              <w:jc w:val="both"/>
            </w:pPr>
            <w:r>
              <w:rPr>
                <w:sz w:val="21"/>
              </w:rPr>
              <w:t>1</w:t>
            </w:r>
            <w:r>
              <w:rPr>
                <w:sz w:val="21"/>
              </w:rPr>
              <w:t>4</w:t>
            </w:r>
            <w:r>
              <w:rPr>
                <w:sz w:val="21"/>
              </w:rPr>
              <w:t>.</w:t>
            </w:r>
            <w:r>
              <w:rPr>
                <w:sz w:val="21"/>
              </w:rPr>
              <w:t xml:space="preserve"> </w:t>
            </w:r>
            <w:r>
              <w:rPr>
                <w:sz w:val="21"/>
              </w:rPr>
              <w:t>具备持续导联故障检测功能，电极片或导线连接异常时自动提示。</w:t>
            </w:r>
          </w:p>
          <w:p>
            <w:pPr>
              <w:pStyle w:val="null3"/>
              <w:jc w:val="both"/>
            </w:pPr>
            <w:r>
              <w:rPr>
                <w:sz w:val="21"/>
              </w:rPr>
              <w:t>（五）触发与心率同步</w:t>
            </w:r>
          </w:p>
          <w:p>
            <w:pPr>
              <w:pStyle w:val="null3"/>
              <w:jc w:val="both"/>
            </w:pPr>
            <w:r>
              <w:rPr>
                <w:sz w:val="21"/>
              </w:rPr>
              <w:t>1</w:t>
            </w:r>
            <w:r>
              <w:rPr>
                <w:sz w:val="21"/>
              </w:rPr>
              <w:t>5</w:t>
            </w:r>
            <w:r>
              <w:rPr>
                <w:sz w:val="21"/>
              </w:rPr>
              <w:t>.</w:t>
            </w:r>
            <w:r>
              <w:rPr>
                <w:sz w:val="21"/>
              </w:rPr>
              <w:t xml:space="preserve"> </w:t>
            </w:r>
            <w:r>
              <w:rPr>
                <w:sz w:val="21"/>
              </w:rPr>
              <w:t>配备心律同步智能模块，自适应患者心率，自动调整马达速度，无需手动调节模式。</w:t>
            </w:r>
          </w:p>
          <w:p>
            <w:pPr>
              <w:pStyle w:val="null3"/>
              <w:jc w:val="both"/>
            </w:pPr>
            <w:r>
              <w:rPr>
                <w:sz w:val="21"/>
              </w:rPr>
              <w:t>1</w:t>
            </w:r>
            <w:r>
              <w:rPr>
                <w:sz w:val="21"/>
              </w:rPr>
              <w:t>6</w:t>
            </w:r>
            <w:r>
              <w:rPr>
                <w:sz w:val="21"/>
              </w:rPr>
              <w:t>.</w:t>
            </w:r>
            <w:r>
              <w:rPr>
                <w:sz w:val="21"/>
              </w:rPr>
              <w:t xml:space="preserve"> </w:t>
            </w:r>
            <w:r>
              <w:rPr>
                <w:sz w:val="21"/>
              </w:rPr>
              <w:t>具备房颤跟踪模块，实时监测</w:t>
            </w:r>
            <w:r>
              <w:rPr>
                <w:sz w:val="21"/>
              </w:rPr>
              <w:t>R-R 间期，房颤时自动启动 R 波排气系统。</w:t>
            </w:r>
          </w:p>
          <w:p>
            <w:pPr>
              <w:pStyle w:val="null3"/>
              <w:jc w:val="both"/>
            </w:pPr>
            <w:r>
              <w:rPr>
                <w:sz w:val="21"/>
              </w:rPr>
              <w:t>▲1</w:t>
            </w:r>
            <w:r>
              <w:rPr>
                <w:sz w:val="21"/>
              </w:rPr>
              <w:t>7</w:t>
            </w:r>
            <w:r>
              <w:rPr>
                <w:sz w:val="21"/>
              </w:rPr>
              <w:t>.</w:t>
            </w:r>
            <w:r>
              <w:rPr>
                <w:sz w:val="21"/>
              </w:rPr>
              <w:t xml:space="preserve"> </w:t>
            </w:r>
            <w:r>
              <w:rPr>
                <w:sz w:val="21"/>
              </w:rPr>
              <w:t>具备高</w:t>
            </w:r>
            <w:r>
              <w:rPr>
                <w:sz w:val="21"/>
              </w:rPr>
              <w:t>T 波抑制功能，可识别并抑制幅度不超过 R 波 120% 的 T 波。（提供投标产品彩页或厂家出具的技术白皮书或产品说明书</w:t>
            </w:r>
            <w:r>
              <w:rPr>
                <w:sz w:val="21"/>
              </w:rPr>
              <w:t>并加盖投标人公章</w:t>
            </w:r>
            <w:r>
              <w:rPr>
                <w:sz w:val="21"/>
              </w:rPr>
              <w:t>）</w:t>
            </w:r>
          </w:p>
          <w:p>
            <w:pPr>
              <w:pStyle w:val="null3"/>
              <w:jc w:val="both"/>
            </w:pPr>
            <w:r>
              <w:rPr>
                <w:sz w:val="21"/>
              </w:rPr>
              <w:t>18</w:t>
            </w:r>
            <w:r>
              <w:rPr>
                <w:sz w:val="21"/>
              </w:rPr>
              <w:t>.</w:t>
            </w:r>
            <w:r>
              <w:rPr>
                <w:sz w:val="21"/>
              </w:rPr>
              <w:t xml:space="preserve">   </w:t>
            </w:r>
            <w:r>
              <w:rPr>
                <w:sz w:val="21"/>
              </w:rPr>
              <w:t>ECG 触发阈值 ≤ 80 µV，压力触发阈值 ≤ 7 mmHg。</w:t>
            </w:r>
          </w:p>
          <w:p>
            <w:pPr>
              <w:pStyle w:val="null3"/>
              <w:jc w:val="both"/>
            </w:pPr>
            <w:r>
              <w:rPr>
                <w:sz w:val="21"/>
              </w:rPr>
              <w:t>19</w:t>
            </w:r>
            <w:r>
              <w:rPr>
                <w:sz w:val="21"/>
              </w:rPr>
              <w:t>.</w:t>
            </w:r>
            <w:r>
              <w:rPr>
                <w:sz w:val="21"/>
              </w:rPr>
              <w:t xml:space="preserve"> </w:t>
            </w:r>
            <w:r>
              <w:rPr>
                <w:sz w:val="21"/>
              </w:rPr>
              <w:t>具备光纤压力信号及传统压力信号的低电平输出，可直接接入床旁监护仪。</w:t>
            </w:r>
          </w:p>
          <w:p>
            <w:pPr>
              <w:pStyle w:val="null3"/>
              <w:jc w:val="both"/>
            </w:pPr>
            <w:r>
              <w:rPr>
                <w:sz w:val="21"/>
              </w:rPr>
              <w:t>（六）报警与诊断</w:t>
            </w:r>
          </w:p>
          <w:p>
            <w:pPr>
              <w:pStyle w:val="null3"/>
              <w:jc w:val="both"/>
            </w:pPr>
            <w:r>
              <w:rPr>
                <w:sz w:val="21"/>
              </w:rPr>
              <w:t>▲2</w:t>
            </w:r>
            <w:r>
              <w:rPr>
                <w:sz w:val="21"/>
              </w:rPr>
              <w:t>0</w:t>
            </w:r>
            <w:r>
              <w:rPr>
                <w:sz w:val="21"/>
              </w:rPr>
              <w:t>.</w:t>
            </w:r>
            <w:r>
              <w:rPr>
                <w:sz w:val="21"/>
              </w:rPr>
              <w:t xml:space="preserve"> </w:t>
            </w:r>
            <w:r>
              <w:rPr>
                <w:sz w:val="21"/>
              </w:rPr>
              <w:t>具备四级或以上报警系统，分色显示，每项报警均可点击查看详细帮助信息。（提供投标产品彩页或厂家出具的技术白皮书或产品说明书</w:t>
            </w:r>
            <w:r>
              <w:rPr>
                <w:sz w:val="21"/>
              </w:rPr>
              <w:t>并加盖投标人公章</w:t>
            </w:r>
            <w:r>
              <w:rPr>
                <w:sz w:val="21"/>
              </w:rPr>
              <w:t>）</w:t>
            </w:r>
          </w:p>
          <w:p>
            <w:pPr>
              <w:pStyle w:val="null3"/>
              <w:jc w:val="both"/>
            </w:pPr>
            <w:r>
              <w:rPr>
                <w:sz w:val="21"/>
              </w:rPr>
              <w:t>2</w:t>
            </w:r>
            <w:r>
              <w:rPr>
                <w:sz w:val="21"/>
              </w:rPr>
              <w:t>1</w:t>
            </w:r>
            <w:r>
              <w:rPr>
                <w:sz w:val="21"/>
              </w:rPr>
              <w:t>.</w:t>
            </w:r>
            <w:r>
              <w:rPr>
                <w:sz w:val="21"/>
              </w:rPr>
              <w:t xml:space="preserve"> </w:t>
            </w:r>
            <w:r>
              <w:rPr>
                <w:sz w:val="21"/>
              </w:rPr>
              <w:t>报警时屏幕显示具体内容及排除步骤。</w:t>
            </w:r>
          </w:p>
          <w:p>
            <w:pPr>
              <w:pStyle w:val="null3"/>
              <w:jc w:val="both"/>
            </w:pPr>
            <w:r>
              <w:rPr>
                <w:sz w:val="21"/>
              </w:rPr>
              <w:t>2</w:t>
            </w:r>
            <w:r>
              <w:rPr>
                <w:sz w:val="21"/>
              </w:rPr>
              <w:t>2</w:t>
            </w:r>
            <w:r>
              <w:rPr>
                <w:sz w:val="21"/>
              </w:rPr>
              <w:t>.</w:t>
            </w:r>
            <w:r>
              <w:rPr>
                <w:sz w:val="21"/>
              </w:rPr>
              <w:t xml:space="preserve"> </w:t>
            </w:r>
            <w:r>
              <w:rPr>
                <w:sz w:val="21"/>
              </w:rPr>
              <w:t>内置自动检修软件，支持快速故障排查。</w:t>
            </w:r>
          </w:p>
          <w:p>
            <w:pPr>
              <w:pStyle w:val="null3"/>
              <w:jc w:val="both"/>
            </w:pPr>
            <w:r>
              <w:rPr>
                <w:sz w:val="21"/>
                <w:b/>
              </w:rPr>
              <w:t>三、</w:t>
            </w:r>
            <w:r>
              <w:rPr>
                <w:sz w:val="21"/>
                <w:b/>
              </w:rPr>
              <w:t>配置要求：</w:t>
            </w:r>
          </w:p>
          <w:tbl>
            <w:tblPr>
              <w:tblBorders>
                <w:top w:val="none" w:color="000000" w:sz="4"/>
                <w:left w:val="none" w:color="000000" w:sz="4"/>
                <w:bottom w:val="none" w:color="000000" w:sz="4"/>
                <w:right w:val="none" w:color="000000" w:sz="4"/>
                <w:insideH w:val="none"/>
                <w:insideV w:val="none"/>
              </w:tblBorders>
            </w:tblPr>
            <w:tblGrid>
              <w:gridCol w:w="1119"/>
              <w:gridCol w:w="2662"/>
              <w:gridCol w:w="1774"/>
            </w:tblGrid>
            <w:tr>
              <w:tc>
                <w:tcPr>
                  <w:tcW w:type="dxa" w:w="11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6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17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数量单位</w:t>
                  </w:r>
                </w:p>
              </w:tc>
            </w:tr>
            <w:tr>
              <w:tc>
                <w:tcPr>
                  <w:tcW w:type="dxa" w:w="1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w:t>
                  </w:r>
                </w:p>
              </w:tc>
              <w:tc>
                <w:tcPr>
                  <w:tcW w:type="dxa" w:w="1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r>
            <w:tr>
              <w:tc>
                <w:tcPr>
                  <w:tcW w:type="dxa" w:w="1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专用台车</w:t>
                  </w:r>
                </w:p>
              </w:tc>
              <w:tc>
                <w:tcPr>
                  <w:tcW w:type="dxa" w:w="1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r>
            <w:tr>
              <w:tc>
                <w:tcPr>
                  <w:tcW w:type="dxa" w:w="1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心电导联线</w:t>
                  </w:r>
                </w:p>
              </w:tc>
              <w:tc>
                <w:tcPr>
                  <w:tcW w:type="dxa" w:w="1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r>
            <w:tr>
              <w:tc>
                <w:tcPr>
                  <w:tcW w:type="dxa" w:w="1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压力连接线</w:t>
                  </w:r>
                </w:p>
              </w:tc>
              <w:tc>
                <w:tcPr>
                  <w:tcW w:type="dxa" w:w="1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r>
            <w:tr>
              <w:tc>
                <w:tcPr>
                  <w:tcW w:type="dxa" w:w="1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外接信号线</w:t>
                  </w:r>
                </w:p>
              </w:tc>
              <w:tc>
                <w:tcPr>
                  <w:tcW w:type="dxa" w:w="1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r>
            <w:tr>
              <w:tc>
                <w:tcPr>
                  <w:tcW w:type="dxa" w:w="1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光纤清洁工具</w:t>
                  </w:r>
                </w:p>
              </w:tc>
              <w:tc>
                <w:tcPr>
                  <w:tcW w:type="dxa" w:w="1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r>
            <w:tr>
              <w:tc>
                <w:tcPr>
                  <w:tcW w:type="dxa" w:w="1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防水罩</w:t>
                  </w:r>
                </w:p>
              </w:tc>
              <w:tc>
                <w:tcPr>
                  <w:tcW w:type="dxa" w:w="1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1件</w:t>
                  </w:r>
                </w:p>
              </w:tc>
            </w:tr>
            <w:tr>
              <w:tc>
                <w:tcPr>
                  <w:tcW w:type="dxa" w:w="1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配套打印纸</w:t>
                  </w:r>
                </w:p>
              </w:tc>
              <w:tc>
                <w:tcPr>
                  <w:tcW w:type="dxa" w:w="1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r>
            <w:tr>
              <w:tc>
                <w:tcPr>
                  <w:tcW w:type="dxa" w:w="1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配套氦气瓶</w:t>
                  </w:r>
                </w:p>
              </w:tc>
              <w:tc>
                <w:tcPr>
                  <w:tcW w:type="dxa" w:w="1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2个</w:t>
                  </w:r>
                </w:p>
              </w:tc>
            </w:tr>
            <w:tr>
              <w:tc>
                <w:tcPr>
                  <w:tcW w:type="dxa" w:w="1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说明书</w:t>
                  </w:r>
                </w:p>
              </w:tc>
              <w:tc>
                <w:tcPr>
                  <w:tcW w:type="dxa" w:w="1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r>
          </w:tbl>
          <w:p>
            <w:pPr>
              <w:pStyle w:val="null3"/>
              <w:jc w:val="both"/>
            </w:pPr>
            <w:r>
              <w:rPr>
                <w:sz w:val="21"/>
                <w:b/>
              </w:rPr>
              <w:t>四、其他</w:t>
            </w:r>
          </w:p>
          <w:p>
            <w:pPr>
              <w:pStyle w:val="null3"/>
              <w:jc w:val="both"/>
            </w:pPr>
            <w:r>
              <w:rPr>
                <w:sz w:val="21"/>
              </w:rPr>
              <w:t>（一）中标人负责接入医院相关信息系统（若产品具备连接功能），相关费用均包含在投标总价内。</w:t>
            </w:r>
          </w:p>
          <w:p>
            <w:pPr>
              <w:pStyle w:val="null3"/>
              <w:jc w:val="both"/>
            </w:pPr>
            <w:r>
              <w:rPr>
                <w:sz w:val="21"/>
              </w:rPr>
              <w:t>（二）在投标文件中列出主要医用耗材、易损件和维修配件（如有）的价格（价格表参考招标文件格式，格式自拟，内容涵盖但不限于：名称、规格型号、品牌、产地、制造商名称、单价信息）。</w:t>
            </w:r>
          </w:p>
          <w:p>
            <w:pPr>
              <w:pStyle w:val="null3"/>
              <w:jc w:val="both"/>
            </w:pPr>
            <w:r>
              <w:rPr>
                <w:sz w:val="21"/>
                <w:b/>
              </w:rPr>
              <w:t>注：</w:t>
            </w:r>
            <w:r>
              <w:rPr>
                <w:sz w:val="21"/>
                <w:b/>
              </w:rPr>
              <w:t>1.以技术（参数）要求序号最细的（如</w:t>
            </w:r>
            <w:r>
              <w:rPr>
                <w:sz w:val="21"/>
                <w:b/>
              </w:rPr>
              <w:t>（</w:t>
            </w:r>
            <w:r>
              <w:rPr>
                <w:sz w:val="21"/>
                <w:b/>
              </w:rPr>
              <w:t>一</w:t>
            </w:r>
            <w:r>
              <w:rPr>
                <w:sz w:val="21"/>
                <w:b/>
              </w:rPr>
              <w:t>）</w:t>
            </w:r>
            <w:r>
              <w:rPr>
                <w:sz w:val="21"/>
                <w:b/>
              </w:rPr>
              <w:t>与</w:t>
            </w:r>
            <w:r>
              <w:rPr>
                <w:sz w:val="21"/>
                <w:b/>
              </w:rPr>
              <w:t>1.之间，1.为最细序号）作为一项参数。</w:t>
            </w:r>
          </w:p>
          <w:p>
            <w:pPr>
              <w:pStyle w:val="null3"/>
            </w:pPr>
            <w:r>
              <w:rPr>
                <w:sz w:val="21"/>
                <w:b/>
              </w:rPr>
              <w:t>2.投标人应对“2.技术标准与要求”中的各个条款在投标文件格式的《技术和服务要求响应表》中作出响应。</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广州医科大学附属第二医院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投标保函提交方式：供应商可通过"广东政府采购智慧云平台金融服务中心"(https://gdgpo.czt.gd.gov.cn/zcdservice/zcd/guangdong/)，申请办理投标（响应）担保函、保险（保证）凭证，成功出函的等效于现金缴纳投标保证金。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采购机构代理服务收费标准：本次招标向中标人收取招标代理服务费。 以中标通知书中的中标金额作为招标代理服务费的计算基数。 参照《广东省物价局粤价函〔2013〕1233号》规定的标准费率下浮22%。 应以银行转账方式向采购代理机构直接缴纳招标代理服务费，付至采购代理机构发出的《领取《中标通知书》通知》的账号。</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其他，1.资金来源：财政性资金，本项目属于政府采购项目。 2.招标文件附件：投标人应将招标公告中“相关附件”（如有）内容填写好相关信息后附在投标文件中。 3.投标文件内证明材料：投标人所提供的证明材料复印件或扫描件须清晰可辨，明确反映相关响应的信息，否则可能导致其投标无效或被拒绝。</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 （http://www.cfen.com.cn/），广东信诚招标代理咨询有限公司(http://www.gdxczb.cn/)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 （http://www.cfen.com.cn/），广东信诚招标代理咨询有限公司(http://www.gdxczb.cn/)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510050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采购包1(主动脉内球囊反搏泵)：综合评分法,是指投标文件满足招标文件全部实质性要求，且按照评审因素的量化指标评审得分最高的投标人为中标候选人的评标方法。（最低报价不是中标的唯一依据。）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采购包1（主动脉内球囊反搏泵）：</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采购包1（主动脉内球囊反搏泵）：</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提供书面声明（格式自定）或相关证明材料；若已对接“粤省事”、“粤商通”、“粤信签”等系统的，可提供书面声明函（格式自拟）；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提供书面声明（格式自定）或相关证明材料；若已对接“粤省事”、“粤商通”、“粤信签”等系统的，可提供书面声明函（格式自拟）；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提供书面声明（格式自定）或相关证明材料；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6）法律、行政法规规定的其他条件：按投标函相关承诺要求内容。</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需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投标人应具有有效的且与所投项目相适应的医疗器械生产许可或经营许可，即： 如投标人为所投产品的生产企业：所投产品为第二、三类医疗器械，提供药品监督管理部门签发的有效的《医疗器械生产许可证》复印件（如国家另有规定，则适用其规定）。 如投标人为经营企业：所投产品为第三类医疗器械，提供药品监督管理部门签发的有效的《医疗器械经营许可证》复印件（如国家另有规定，则适用其规定）。（如投标人所在地实施“一照通行”相关政策，其第三类医疗器械经营许可事项以二维码形式集中反映在营业执照上的，应提供扫描二维码后反映的有效许可事项信息截图。）</w:t>
            </w:r>
          </w:p>
        </w:tc>
      </w:tr>
      <w:tr>
        <w:tc>
          <w:tcPr>
            <w:tcW w:type="dxa" w:w="890"/>
          </w:tcPr>
          <w:p>
            <w:pPr>
              <w:pStyle w:val="null3"/>
            </w:pPr>
            <w:r>
              <w:rPr/>
              <w:t>9</w:t>
            </w:r>
          </w:p>
        </w:tc>
        <w:tc>
          <w:tcPr>
            <w:tcW w:type="dxa" w:w="3178"/>
          </w:tcPr>
          <w:p>
            <w:pPr>
              <w:pStyle w:val="null3"/>
            </w:pPr>
            <w:r>
              <w:rPr/>
              <w:t>本项目的特定资格要求</w:t>
            </w:r>
          </w:p>
        </w:tc>
        <w:tc>
          <w:tcPr>
            <w:tcW w:type="dxa" w:w="4238"/>
          </w:tcPr>
          <w:p>
            <w:pPr>
              <w:pStyle w:val="null3"/>
            </w:pPr>
            <w:r>
              <w:rPr/>
              <w:t>本采购包不接受联合体投标。提供书面声明（格式自定）。</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无，本采购包不属于专门面向中小企业采购的项目。本采购包的中小企业划分标准所属行业为：工业。</w:t>
            </w:r>
          </w:p>
        </w:tc>
      </w:tr>
    </w:tbl>
    <w:p>
      <w:pPr>
        <w:pStyle w:val="null3"/>
        <w:ind w:firstLine="480"/>
      </w:pPr>
      <w:r>
        <w:rPr/>
        <w:t>表二符合性审查表：</w:t>
      </w:r>
    </w:p>
    <w:p>
      <w:pPr>
        <w:pStyle w:val="null3"/>
      </w:pPr>
      <w:r>
        <w:rPr/>
        <w:t>采购包1（主动脉内球囊反搏泵）：</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投标总报价是固定价且未超过本项目采购预算。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采购包1(主动脉内球囊反搏泵):</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设备技术参数响应程度、性能符合性 (30.0分)</w:t>
            </w:r>
          </w:p>
        </w:tc>
        <w:tc>
          <w:tcPr>
            <w:tcW w:type="dxa" w:w="5076"/>
          </w:tcPr>
          <w:p>
            <w:pPr>
              <w:pStyle w:val="null3"/>
              <w:jc w:val="left"/>
            </w:pPr>
            <w:r>
              <w:rPr/>
              <w:t>根据投标人所投产品对 “附表一：主动脉内球囊反搏泵”的“具体技术（参数）要求”的“▲”号条款响应情况进行评审： 对 10 项带“▲”号条款进行逐一响应，每满足一个“▲”号条款，得3分，本项共30分。 【备注：如采购需求中有明确要求提供证明材料的，则以采购需求要求的为准；如采购需求中无明确要求证明材料的，则投标人须提供投标产品的产品彩页或白皮书或产品使用说明书（如为英文版，请同时提供中文版加盖投标人公章）或第三方检测机构出具的检测报告复印件或盖有厂家公章的技术参数（中文版）确认函作为技术证明文件。凡不符合上述要求的，将视为无效技术支持资料。】</w:t>
            </w:r>
          </w:p>
        </w:tc>
      </w:tr>
      <w:tr>
        <w:tc>
          <w:tcPr>
            <w:tcW w:type="dxa" w:w="922"/>
            <w:gridSpan w:val="2"/>
            <w:vMerge/>
          </w:tcPr>
          <w:p/>
        </w:tc>
        <w:tc>
          <w:tcPr>
            <w:tcW w:type="dxa" w:w="2307"/>
          </w:tcPr>
          <w:p>
            <w:pPr>
              <w:pStyle w:val="null3"/>
              <w:jc w:val="left"/>
            </w:pPr>
            <w:r>
              <w:rPr/>
              <w:t>设备技术参数响应程度、性能符合性 (12.0分)</w:t>
            </w:r>
          </w:p>
        </w:tc>
        <w:tc>
          <w:tcPr>
            <w:tcW w:type="dxa" w:w="5076"/>
          </w:tcPr>
          <w:p>
            <w:pPr>
              <w:pStyle w:val="null3"/>
              <w:jc w:val="left"/>
            </w:pPr>
            <w:r>
              <w:rPr/>
              <w:t>根据投标人所投产品对 “附表一：主动脉内球囊反搏泵”的“具体技术（参数）要求”的非带“▲”、“★”号条款响应情况进行评审： 对 17 项非带“▲”、“★”号条款进行逐一响应，本小项共12分，投标人本小项得分=投标人响应非带“▲”、“★”号条款项数/17项×12分。 【备注：采购需求中有明确要求提供证明材料的，则以采购需求要求的为准；如采购需求中无明确要求证明材料的，则提供根据投标人在《技术和服务要求响应表》中的响应情况进行评审，未按要求提供证明材料或未响应视为负偏离。以技术（参数）要求序号最细的（如（一）与1.之间，1.为最细序号）作为一项参数。】</w:t>
            </w:r>
          </w:p>
        </w:tc>
      </w:tr>
      <w:tr>
        <w:tc>
          <w:tcPr>
            <w:tcW w:type="dxa" w:w="922"/>
            <w:gridSpan w:val="2"/>
            <w:vMerge/>
          </w:tcPr>
          <w:p/>
        </w:tc>
        <w:tc>
          <w:tcPr>
            <w:tcW w:type="dxa" w:w="2307"/>
          </w:tcPr>
          <w:p>
            <w:pPr>
              <w:pStyle w:val="null3"/>
              <w:jc w:val="left"/>
            </w:pPr>
            <w:r>
              <w:rPr/>
              <w:t>产品保障情况 (3.0分)</w:t>
            </w:r>
          </w:p>
        </w:tc>
        <w:tc>
          <w:tcPr>
            <w:tcW w:type="dxa" w:w="5076"/>
          </w:tcPr>
          <w:p>
            <w:pPr>
              <w:pStyle w:val="null3"/>
              <w:jc w:val="left"/>
            </w:pPr>
            <w:r>
              <w:rPr/>
              <w:t>为了保证产品具有追溯性且保证质量，若投标人为所投产品生产企业的，需提供说明函（并加盖投标人公章）证明所投产品为投标人自行生产；若投标人为代理商、经销商投标的，提供生产企业或其授权的经销商（代理商）出具的有效授权证明。 本项最高得3分。 未提供或专家无法认定的不得分。</w:t>
            </w:r>
          </w:p>
        </w:tc>
      </w:tr>
      <w:tr>
        <w:tc>
          <w:tcPr>
            <w:tcW w:type="dxa" w:w="922"/>
            <w:gridSpan w:val="2"/>
            <w:vMerge/>
          </w:tcPr>
          <w:p/>
        </w:tc>
        <w:tc>
          <w:tcPr>
            <w:tcW w:type="dxa" w:w="2307"/>
          </w:tcPr>
          <w:p>
            <w:pPr>
              <w:pStyle w:val="null3"/>
              <w:jc w:val="left"/>
            </w:pPr>
            <w:r>
              <w:rPr/>
              <w:t>供货履约方案 (5.0分)</w:t>
            </w:r>
          </w:p>
        </w:tc>
        <w:tc>
          <w:tcPr>
            <w:tcW w:type="dxa" w:w="5076"/>
          </w:tcPr>
          <w:p>
            <w:pPr>
              <w:pStyle w:val="null3"/>
              <w:jc w:val="left"/>
            </w:pPr>
            <w:r>
              <w:rPr/>
              <w:t>根据投标人提供的针对本项目供货履约方案（包括包装及安装调试、为验收提供的便利条件）进行评审： 1.能提供涵盖上述内容的供货履约方案，得1分； 2.需求中设备的包装及安装调试要求，投标人供货履约方案能提供优于设备的包装及安装调试要求的，得2分；能提供满足设备的包装及安装调试要求的，得1分；不能满足设备的包装及安装调试要求的不得分。 3.需求中的验收要求，投标人供货履约方案中为验收提供的便利条件满足验收需求且有更优的，得2分；能满足验收需求的，得1分；不能满足验收需求的，不得分。</w:t>
            </w:r>
          </w:p>
        </w:tc>
      </w:tr>
      <w:tr>
        <w:tc>
          <w:tcPr>
            <w:tcW w:type="dxa" w:w="922"/>
            <w:gridSpan w:val="2"/>
            <w:vMerge/>
          </w:tcPr>
          <w:p/>
        </w:tc>
        <w:tc>
          <w:tcPr>
            <w:tcW w:type="dxa" w:w="2307"/>
          </w:tcPr>
          <w:p>
            <w:pPr>
              <w:pStyle w:val="null3"/>
              <w:jc w:val="left"/>
            </w:pPr>
            <w:r>
              <w:rPr/>
              <w:t>技术培训方案 (5.0分)</w:t>
            </w:r>
          </w:p>
        </w:tc>
        <w:tc>
          <w:tcPr>
            <w:tcW w:type="dxa" w:w="5076"/>
          </w:tcPr>
          <w:p>
            <w:pPr>
              <w:pStyle w:val="null3"/>
              <w:jc w:val="left"/>
            </w:pPr>
            <w:r>
              <w:rPr/>
              <w:t>根据投标人提供的针对本项目技术培训方案【包括培训目标（标准）、培训内容】进行评审： 1.能提供涵盖上述内容的技术培训方案，得1分； 2.需求中培训要求中的培训目标（标准），投标人技术培训方案能提供优于培训目标（标准）的，得2分；能提供满足培训目标（标准）的，得1分；不能满足培训目标（标准）的不得分。 3.需求中培训要求中的培训内容，投标人技术培训方案能提供优于培训内容的，得2分；能提供满足培训内容的，得1分；不能满足培训内容的，不得分。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投标人的业绩情况(以合同签订为准) (2.0分)</w:t>
            </w:r>
          </w:p>
        </w:tc>
        <w:tc>
          <w:tcPr>
            <w:tcW w:type="dxa" w:w="5076"/>
          </w:tcPr>
          <w:p>
            <w:pPr>
              <w:pStyle w:val="null3"/>
              <w:jc w:val="left"/>
            </w:pPr>
            <w:r>
              <w:rPr/>
              <w:t>投标人所提供的项目业绩应同时满足以下条件： 1.合同标的与本项目采购标的属于同一类别； 2.签订时间为2022年1月1日至今（提供合同复印件并加盖投标人公章，并显示上述内容，每提供一份得1分，满分2分，未提供则不得分）。</w:t>
            </w:r>
          </w:p>
        </w:tc>
      </w:tr>
      <w:tr>
        <w:tc>
          <w:tcPr>
            <w:tcW w:type="dxa" w:w="922"/>
            <w:gridSpan w:val="2"/>
            <w:vMerge/>
          </w:tcPr>
          <w:p/>
        </w:tc>
        <w:tc>
          <w:tcPr>
            <w:tcW w:type="dxa" w:w="2307"/>
          </w:tcPr>
          <w:p>
            <w:pPr>
              <w:pStyle w:val="null3"/>
              <w:jc w:val="left"/>
            </w:pPr>
            <w:r>
              <w:rPr/>
              <w:t>货物免费保修年限 (2.0分)</w:t>
            </w:r>
          </w:p>
        </w:tc>
        <w:tc>
          <w:tcPr>
            <w:tcW w:type="dxa" w:w="5076"/>
          </w:tcPr>
          <w:p>
            <w:pPr>
              <w:pStyle w:val="null3"/>
              <w:jc w:val="left"/>
            </w:pPr>
            <w:r>
              <w:rPr/>
              <w:t>投标人提供的整机免费保修年限满足 3 年的基础上，每增加一年免费保修年限加2分，本项最高不超过2分。 注：提供厂家承诺函并加盖投标人、厂家公章，格式自拟，不提供不得分。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根据投标人提供的针对本项目售后服务方案（★号条款除外）（包括质保期内维修服务、退换货及软件升级要求、零备件供应要求）进行评审： 1.能提供涵盖上述内容的售后服务方案，得1.5分； 2.需求中售后服务要求中的质保期内维修服务内容，投标人售后服务方案能提供优于质保期内维修服务要求的，得1.5分；能提供满足质保期内维修服务要求的，得0.5分；不能满足质保期内维修服务要求的不得分。 3.需求中售后服务要求中的退换货及软件升级要求，投标人售后服务方案能提供优于退换货及软件升级要求的，得1.5分；能提供满足退换货及软件升级要求的，得0.5分；不能满足退换货及软件升级要求的，不得分。 4.需求中售后服务要求中的零备件供应要求，投标人售后服务方案能提供优于零备件供应要求的，得1.5分；能提供满足零备件供应要求的，得0.5分；不能满足零备件供应要求的，不得分。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rPr>
        <w:t>注：本合同仅为合同的参考文本，合同签订双方可根据项目的具体要求进行修订。</w:t>
      </w:r>
    </w:p>
    <w:p>
      <w:pPr>
        <w:pStyle w:val="null3"/>
      </w:pPr>
      <w:r>
        <w:rPr/>
        <w:t xml:space="preserve"> </w:t>
      </w:r>
    </w:p>
    <w:p>
      <w:pPr>
        <w:pStyle w:val="null3"/>
      </w:pPr>
      <w:r>
        <w:rPr>
          <w:sz w:val="28"/>
          <w:b/>
        </w:rPr>
        <w:t>采</w:t>
      </w:r>
      <w:r>
        <w:rPr>
          <w:sz w:val="28"/>
          <w:b/>
        </w:rPr>
        <w:t>购</w:t>
      </w:r>
      <w:r>
        <w:rPr>
          <w:sz w:val="28"/>
          <w:b/>
        </w:rPr>
        <w:t>合</w:t>
      </w:r>
      <w:r>
        <w:rPr>
          <w:sz w:val="28"/>
          <w:b/>
        </w:rPr>
        <w:t>同</w:t>
      </w:r>
    </w:p>
    <w:p>
      <w:pPr>
        <w:pStyle w:val="null3"/>
        <w:ind w:firstLine="480"/>
        <w:jc w:val="both"/>
      </w:pPr>
      <w:r>
        <w:rPr>
          <w:sz w:val="21"/>
        </w:rPr>
        <w:t>甲方：广州医科大学附属第二医院</w:t>
      </w:r>
      <w:r>
        <w:rPr>
          <w:sz w:val="21"/>
        </w:rPr>
        <w:t xml:space="preserve">       </w:t>
      </w:r>
      <w:r>
        <w:rPr>
          <w:sz w:val="21"/>
        </w:rPr>
        <w:t>合同编号：</w:t>
      </w:r>
      <w:r>
        <w:rPr>
          <w:sz w:val="21"/>
        </w:rPr>
        <w:t xml:space="preserve">           </w:t>
      </w:r>
    </w:p>
    <w:p>
      <w:pPr>
        <w:pStyle w:val="null3"/>
        <w:ind w:firstLine="480"/>
        <w:jc w:val="both"/>
      </w:pPr>
      <w:r>
        <w:rPr>
          <w:sz w:val="21"/>
        </w:rPr>
        <w:t>乙方：</w:t>
      </w:r>
      <w:r>
        <w:rPr>
          <w:sz w:val="21"/>
        </w:rPr>
        <w:t xml:space="preserve">                               </w:t>
      </w:r>
      <w:r>
        <w:rPr>
          <w:sz w:val="21"/>
        </w:rPr>
        <w:t>签约地点：广东省广州市海珠区</w:t>
      </w:r>
    </w:p>
    <w:p>
      <w:pPr>
        <w:pStyle w:val="null3"/>
        <w:ind w:firstLine="480"/>
        <w:jc w:val="both"/>
      </w:pPr>
      <w:r>
        <w:rPr>
          <w:sz w:val="21"/>
        </w:rPr>
        <w:t xml:space="preserve">    </w:t>
      </w:r>
      <w:r>
        <w:rPr>
          <w:sz w:val="21"/>
        </w:rPr>
        <w:t>根据《中华人民共和国政府采购法》、《中华人民共和国民法典》等法律法规及</w:t>
      </w:r>
      <w:r>
        <w:rPr>
          <w:sz w:val="21"/>
          <w:u w:val="single"/>
        </w:rPr>
        <w:t xml:space="preserve"> </w:t>
      </w:r>
      <w:r>
        <w:rPr>
          <w:sz w:val="21"/>
          <w:u w:val="single"/>
        </w:rPr>
        <w:t xml:space="preserve">          </w:t>
      </w:r>
      <w:r>
        <w:rPr>
          <w:sz w:val="21"/>
        </w:rPr>
        <w:t>，广州医科大学附属第二医院采购医疗设备招标项目的招标结果和招标文件（采购代理机构：</w:t>
      </w:r>
      <w:r>
        <w:rPr>
          <w:sz w:val="21"/>
          <w:u w:val="single"/>
        </w:rPr>
        <w:t xml:space="preserve">                 </w:t>
      </w:r>
      <w:r>
        <w:rPr>
          <w:sz w:val="21"/>
        </w:rPr>
        <w:t>；招标编号：</w:t>
      </w:r>
      <w:r>
        <w:rPr>
          <w:sz w:val="21"/>
          <w:u w:val="single"/>
        </w:rPr>
        <w:t xml:space="preserve">           </w:t>
      </w:r>
      <w:r>
        <w:rPr>
          <w:sz w:val="21"/>
        </w:rPr>
        <w:t xml:space="preserve"> </w:t>
      </w:r>
      <w:r>
        <w:rPr>
          <w:sz w:val="21"/>
        </w:rPr>
        <w:t>包</w:t>
      </w:r>
      <w:r>
        <w:rPr>
          <w:sz w:val="21"/>
          <w:u w:val="single"/>
        </w:rPr>
        <w:t xml:space="preserve">    </w:t>
      </w:r>
      <w:r>
        <w:rPr>
          <w:sz w:val="21"/>
        </w:rPr>
        <w:t xml:space="preserve"> </w:t>
      </w:r>
      <w:r>
        <w:rPr>
          <w:sz w:val="21"/>
        </w:rPr>
        <w:t>）、院内合同审计（审计编号：</w:t>
      </w:r>
      <w:r>
        <w:rPr>
          <w:sz w:val="21"/>
          <w:u w:val="single"/>
        </w:rPr>
        <w:t xml:space="preserve">      </w:t>
      </w:r>
      <w:r>
        <w:rPr>
          <w:sz w:val="21"/>
        </w:rPr>
        <w:t>）的要求</w:t>
      </w:r>
      <w:r>
        <w:rPr>
          <w:sz w:val="21"/>
        </w:rPr>
        <w:t>,双方协商一致，签订本合同。具体条款如下：</w:t>
      </w:r>
    </w:p>
    <w:p>
      <w:pPr>
        <w:pStyle w:val="null3"/>
        <w:jc w:val="both"/>
      </w:pPr>
      <w:r>
        <w:rPr>
          <w:sz w:val="21"/>
          <w:b/>
        </w:rPr>
        <w:t>1、合同货物</w:t>
      </w:r>
    </w:p>
    <w:p>
      <w:pPr>
        <w:pStyle w:val="null3"/>
        <w:jc w:val="both"/>
      </w:pPr>
      <w:r>
        <w:rPr>
          <w:sz w:val="21"/>
        </w:rPr>
        <w:t>乙方负责向甲方供应下表中所列货物及负责安装调试及提请验收。</w:t>
      </w:r>
    </w:p>
    <w:tbl>
      <w:tblPr>
        <w:tblW w:w="0" w:type="auto"/>
        <w:tblBorders>
          <w:top w:val="none" w:color="000000" w:sz="4"/>
          <w:left w:val="none" w:color="000000" w:sz="4"/>
          <w:bottom w:val="none" w:color="000000" w:sz="4"/>
          <w:right w:val="none" w:color="000000" w:sz="4"/>
          <w:insideH w:val="none"/>
          <w:insideV w:val="none"/>
        </w:tblBorders>
      </w:tblPr>
      <w:tblGrid>
        <w:gridCol w:w="1753"/>
        <w:gridCol w:w="1120"/>
        <w:gridCol w:w="1544"/>
        <w:gridCol w:w="625"/>
        <w:gridCol w:w="688"/>
        <w:gridCol w:w="1161"/>
        <w:gridCol w:w="1411"/>
      </w:tblGrid>
      <w:tr>
        <w:tc>
          <w:tcPr>
            <w:tcW w:type="dxa" w:w="17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sz w:val="21"/>
              </w:rPr>
              <w:t xml:space="preserve">         </w:t>
            </w:r>
            <w:r>
              <w:rPr>
                <w:sz w:val="21"/>
              </w:rPr>
              <w:t>名称</w:t>
            </w:r>
          </w:p>
        </w:tc>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1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产地厂家</w:t>
            </w:r>
          </w:p>
        </w:tc>
        <w:tc>
          <w:tcPr>
            <w:tcW w:type="dxa" w:w="6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单价（元）</w:t>
            </w:r>
          </w:p>
        </w:tc>
        <w:tc>
          <w:tcPr>
            <w:tcW w:type="dxa" w:w="1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总价（元）</w:t>
            </w:r>
          </w:p>
        </w:tc>
      </w:tr>
      <w:tr>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2、合同总价</w:t>
      </w:r>
    </w:p>
    <w:p>
      <w:pPr>
        <w:pStyle w:val="null3"/>
        <w:ind w:firstLine="420"/>
        <w:jc w:val="both"/>
      </w:pPr>
      <w:r>
        <w:rPr>
          <w:sz w:val="21"/>
        </w:rPr>
        <w:t>总价为人民币：</w:t>
      </w:r>
      <w:r>
        <w:rPr>
          <w:sz w:val="21"/>
        </w:rPr>
        <w:t>¥</w:t>
      </w:r>
      <w:r>
        <w:rPr>
          <w:sz w:val="21"/>
          <w:u w:val="single"/>
        </w:rPr>
        <w:t xml:space="preserve">        </w:t>
      </w:r>
      <w:r>
        <w:rPr>
          <w:sz w:val="21"/>
        </w:rPr>
        <w:t>元，（大写）：</w:t>
      </w:r>
      <w:r>
        <w:rPr>
          <w:sz w:val="21"/>
          <w:u w:val="single"/>
        </w:rPr>
        <w:t xml:space="preserve">            </w:t>
      </w:r>
      <w:r>
        <w:rPr>
          <w:sz w:val="21"/>
        </w:rPr>
        <w:t>元整，该合同总额是货物设计、制造、包装、仓储、装卸、运输、保险、货物进口所需办理海关手续的费用以及为进口应缴纳的一切关税、安装调试、检测、验收合格之前及保修期内保修服务、培训、辅导、备品备件等发生的所有含税费用及不可预见费用。本合同执行期间合同总金额不变。</w:t>
      </w:r>
    </w:p>
    <w:p>
      <w:pPr>
        <w:pStyle w:val="null3"/>
        <w:jc w:val="both"/>
      </w:pPr>
      <w:r>
        <w:rPr>
          <w:sz w:val="21"/>
          <w:b/>
        </w:rPr>
        <w:t>3、合同组成</w:t>
      </w:r>
    </w:p>
    <w:p>
      <w:pPr>
        <w:pStyle w:val="null3"/>
        <w:ind w:firstLine="420"/>
        <w:jc w:val="both"/>
      </w:pPr>
      <w:r>
        <w:rPr>
          <w:sz w:val="21"/>
        </w:rPr>
        <w:t>详细价格、技术说明及其它有关合同货物的特定信息由合同附件说明。所有附件（配置清单、售后服务承诺书、应用培训计划）及本项目的招投标文件、会议纪要、协议、澄清等均为本合同不可分割的部分。</w:t>
      </w:r>
    </w:p>
    <w:p>
      <w:pPr>
        <w:pStyle w:val="null3"/>
        <w:jc w:val="both"/>
      </w:pPr>
      <w:r>
        <w:rPr>
          <w:sz w:val="21"/>
          <w:b/>
        </w:rPr>
        <w:t>4、技术要求</w:t>
      </w:r>
    </w:p>
    <w:p>
      <w:pPr>
        <w:pStyle w:val="null3"/>
        <w:jc w:val="both"/>
      </w:pPr>
      <w:r>
        <w:rPr>
          <w:sz w:val="21"/>
        </w:rPr>
        <w:t>4.1 乙方所提供货物，必须符合国家有关规范和环保要求及甲方的技术要求，并提供厂家检测报告及合格证明。所有货物及服务不得侵犯第三方版权、专利等合法权益。</w:t>
      </w:r>
    </w:p>
    <w:p>
      <w:pPr>
        <w:pStyle w:val="null3"/>
        <w:jc w:val="both"/>
      </w:pPr>
      <w:r>
        <w:rPr>
          <w:sz w:val="21"/>
          <w:b/>
        </w:rPr>
        <w:t>5、合同货物包装、交货、安装、调试及验收</w:t>
      </w:r>
    </w:p>
    <w:p>
      <w:pPr>
        <w:pStyle w:val="null3"/>
        <w:jc w:val="both"/>
      </w:pPr>
      <w:r>
        <w:rPr>
          <w:sz w:val="21"/>
        </w:rPr>
        <w:t>5.1 合同货物的包装</w:t>
      </w:r>
    </w:p>
    <w:p>
      <w:pPr>
        <w:pStyle w:val="null3"/>
        <w:jc w:val="both"/>
      </w:pPr>
      <w:r>
        <w:rPr>
          <w:sz w:val="21"/>
        </w:rPr>
        <w:t>货物的包装均应有良好的防湿、防锈、防潮、防雨、防腐及防碰撞的措施。凡由于包装不良造成的损失和由此产生的费用均由乙方承担。</w:t>
      </w:r>
    </w:p>
    <w:p>
      <w:pPr>
        <w:pStyle w:val="null3"/>
        <w:jc w:val="both"/>
      </w:pPr>
      <w:r>
        <w:rPr>
          <w:sz w:val="21"/>
        </w:rPr>
        <w:t>5.2 合同货物的交货</w:t>
      </w:r>
    </w:p>
    <w:p>
      <w:pPr>
        <w:pStyle w:val="null3"/>
        <w:jc w:val="both"/>
      </w:pPr>
      <w:r>
        <w:rPr>
          <w:sz w:val="21"/>
        </w:rPr>
        <w:t>5.2.1 乙方交货时间：</w:t>
      </w:r>
      <w:r>
        <w:rPr>
          <w:sz w:val="21"/>
          <w:b/>
        </w:rPr>
        <w:t>合同签订后</w:t>
      </w:r>
      <w:r>
        <w:rPr>
          <w:sz w:val="21"/>
          <w:b/>
          <w:u w:val="single"/>
        </w:rPr>
        <w:t xml:space="preserve">       </w:t>
      </w:r>
      <w:r>
        <w:rPr>
          <w:sz w:val="21"/>
          <w:b/>
        </w:rPr>
        <w:t>天内</w:t>
      </w:r>
      <w:r>
        <w:rPr>
          <w:sz w:val="21"/>
        </w:rPr>
        <w:t>。</w:t>
      </w:r>
    </w:p>
    <w:p>
      <w:pPr>
        <w:pStyle w:val="null3"/>
        <w:jc w:val="both"/>
      </w:pPr>
      <w:r>
        <w:rPr>
          <w:sz w:val="21"/>
        </w:rPr>
        <w:t>5.2.2 乙方交货地点：广州医科大学附属第二医院指定地点（地址：</w:t>
      </w:r>
      <w:r>
        <w:rPr>
          <w:sz w:val="21"/>
          <w:u w:val="single"/>
        </w:rPr>
        <w:t xml:space="preserve"> </w:t>
      </w:r>
      <w:r>
        <w:rPr>
          <w:sz w:val="21"/>
          <w:u w:val="single"/>
        </w:rPr>
        <w:t xml:space="preserve">      </w:t>
      </w:r>
      <w:r>
        <w:rPr>
          <w:sz w:val="21"/>
        </w:rPr>
        <w:t>），交货过程中所需的人力和工具及其所发生的一切费用由乙方负责。</w:t>
      </w:r>
    </w:p>
    <w:p>
      <w:pPr>
        <w:pStyle w:val="null3"/>
        <w:jc w:val="both"/>
      </w:pPr>
      <w:r>
        <w:rPr>
          <w:sz w:val="21"/>
        </w:rPr>
        <w:t>5.2.3收货人：</w:t>
      </w:r>
      <w:r>
        <w:rPr>
          <w:sz w:val="21"/>
          <w:u w:val="single"/>
        </w:rPr>
        <w:t xml:space="preserve">          </w:t>
      </w:r>
      <w:r>
        <w:rPr>
          <w:sz w:val="21"/>
        </w:rPr>
        <w:t xml:space="preserve">                  </w:t>
      </w:r>
      <w:r>
        <w:rPr>
          <w:sz w:val="21"/>
        </w:rPr>
        <w:t>联系电话：</w:t>
      </w:r>
      <w:r>
        <w:rPr>
          <w:sz w:val="21"/>
          <w:u w:val="single"/>
        </w:rPr>
        <w:t xml:space="preserve">          </w:t>
      </w:r>
      <w:r>
        <w:rPr>
          <w:sz w:val="21"/>
        </w:rPr>
        <w:t xml:space="preserve"> </w:t>
      </w:r>
    </w:p>
    <w:p>
      <w:pPr>
        <w:pStyle w:val="null3"/>
        <w:jc w:val="both"/>
      </w:pPr>
      <w:r>
        <w:rPr>
          <w:sz w:val="21"/>
        </w:rPr>
        <w:t>5.2.4发货人：</w:t>
      </w:r>
      <w:r>
        <w:rPr>
          <w:sz w:val="21"/>
          <w:u w:val="single"/>
        </w:rPr>
        <w:t xml:space="preserve">          </w:t>
      </w:r>
      <w:r>
        <w:rPr>
          <w:sz w:val="21"/>
        </w:rPr>
        <w:t xml:space="preserve">                  </w:t>
      </w:r>
      <w:r>
        <w:rPr>
          <w:sz w:val="21"/>
        </w:rPr>
        <w:t>联系电话：</w:t>
      </w:r>
      <w:r>
        <w:rPr>
          <w:sz w:val="21"/>
          <w:u w:val="single"/>
        </w:rPr>
        <w:t xml:space="preserve">          </w:t>
      </w:r>
      <w:r>
        <w:rPr>
          <w:sz w:val="21"/>
        </w:rPr>
        <w:t xml:space="preserve">    </w:t>
      </w:r>
    </w:p>
    <w:p>
      <w:pPr>
        <w:pStyle w:val="null3"/>
        <w:jc w:val="both"/>
      </w:pPr>
      <w:r>
        <w:rPr>
          <w:sz w:val="21"/>
        </w:rPr>
        <w:t>5.3 合同货物的保管</w:t>
      </w:r>
    </w:p>
    <w:p>
      <w:pPr>
        <w:pStyle w:val="null3"/>
        <w:jc w:val="both"/>
      </w:pPr>
      <w:r>
        <w:rPr>
          <w:sz w:val="21"/>
        </w:rPr>
        <w:t>5.3.1货物的验收前保管由乙方负责，直至项目安装、验收完毕，货物在保管期间造成损毁或者灭失的,由乙方承担责任。</w:t>
      </w:r>
    </w:p>
    <w:p>
      <w:pPr>
        <w:pStyle w:val="null3"/>
        <w:jc w:val="both"/>
      </w:pPr>
      <w:r>
        <w:rPr>
          <w:sz w:val="21"/>
        </w:rPr>
        <w:t>5.3.2乙方应为货物购买安装调试验收合格前的保险，保险费用由乙方承担。乙方应为其派出的现场服务人员购买人身意外保险，保险费用由乙方承担。</w:t>
      </w:r>
    </w:p>
    <w:p>
      <w:pPr>
        <w:pStyle w:val="null3"/>
        <w:jc w:val="both"/>
      </w:pPr>
      <w:r>
        <w:rPr>
          <w:sz w:val="21"/>
        </w:rPr>
        <w:t>5.4 合同货物的安装调试</w:t>
      </w:r>
    </w:p>
    <w:p>
      <w:pPr>
        <w:pStyle w:val="null3"/>
        <w:jc w:val="both"/>
      </w:pPr>
      <w:r>
        <w:rPr>
          <w:sz w:val="21"/>
        </w:rPr>
        <w:t>5.4.1.在货物到达甲方指定地点后，乙方应</w:t>
      </w:r>
      <w:r>
        <w:rPr>
          <w:sz w:val="21"/>
          <w:u w:val="single"/>
        </w:rPr>
        <w:t xml:space="preserve">    </w:t>
      </w:r>
      <w:r>
        <w:rPr>
          <w:sz w:val="21"/>
        </w:rPr>
        <w:t>天内派工程技术人员到达现场，并在甲方实际要求的天数内在甲方人员在场的情况下开箱清点货物，组织安装、调试，承担由此发生的一切费用。厂家从进场安装开始，应在</w:t>
      </w:r>
      <w:r>
        <w:rPr>
          <w:sz w:val="21"/>
          <w:u w:val="single"/>
        </w:rPr>
        <w:t xml:space="preserve"> </w:t>
      </w:r>
      <w:r>
        <w:rPr>
          <w:sz w:val="21"/>
          <w:u w:val="single"/>
        </w:rPr>
        <w:t xml:space="preserve">   </w:t>
      </w:r>
      <w:r>
        <w:rPr>
          <w:sz w:val="21"/>
        </w:rPr>
        <w:t>天内完成安装与调试。</w:t>
      </w:r>
    </w:p>
    <w:p>
      <w:pPr>
        <w:pStyle w:val="null3"/>
        <w:jc w:val="both"/>
      </w:pPr>
      <w:r>
        <w:rPr>
          <w:sz w:val="21"/>
        </w:rPr>
        <w:t>5.4.2.货物安装后，乙方应向用户提交本机安装调试报告（如有），以及按厂方标准进行的各项检测数据。乙方应向甲方提交详细的安装、调试及验收过程中所有相关文档。</w:t>
      </w:r>
    </w:p>
    <w:p>
      <w:pPr>
        <w:pStyle w:val="null3"/>
        <w:jc w:val="both"/>
      </w:pPr>
      <w:r>
        <w:rPr>
          <w:sz w:val="21"/>
        </w:rPr>
        <w:t>5.4.3 乙方负责合同项下的货物安装并调试至正常运行的最佳状态，一切费用由乙方负责。</w:t>
      </w:r>
    </w:p>
    <w:p>
      <w:pPr>
        <w:pStyle w:val="null3"/>
        <w:jc w:val="both"/>
      </w:pPr>
      <w:r>
        <w:rPr>
          <w:sz w:val="21"/>
        </w:rPr>
        <w:t>5.4.4 乙方安装时须对各安装场地内的其它设备、设施有良好保护措施。</w:t>
      </w:r>
    </w:p>
    <w:p>
      <w:pPr>
        <w:pStyle w:val="null3"/>
        <w:jc w:val="both"/>
      </w:pPr>
      <w:r>
        <w:rPr>
          <w:sz w:val="21"/>
        </w:rPr>
        <w:t>5.5  合同货物的验收</w:t>
      </w:r>
    </w:p>
    <w:p>
      <w:pPr>
        <w:pStyle w:val="null3"/>
        <w:jc w:val="both"/>
      </w:pPr>
      <w:r>
        <w:rPr>
          <w:sz w:val="21"/>
        </w:rPr>
        <w:t>5.5.1 合同货物安装调试完成并移交所有资料文档后且收到乙方项目验收建议之日起</w:t>
      </w:r>
      <w:r>
        <w:rPr>
          <w:sz w:val="21"/>
          <w:u w:val="single"/>
        </w:rPr>
        <w:t xml:space="preserve">    </w:t>
      </w:r>
      <w:r>
        <w:rPr>
          <w:sz w:val="21"/>
        </w:rPr>
        <w:t>个工作日内验收，验收应在甲乙双方共同参加下进行。甲方验收前，货物毁损灭失的风险全部由乙方承担，验收时间点以甲方的安装验收报告验收时间为准。</w:t>
      </w:r>
    </w:p>
    <w:p>
      <w:pPr>
        <w:pStyle w:val="null3"/>
        <w:jc w:val="both"/>
      </w:pPr>
      <w:r>
        <w:rPr>
          <w:sz w:val="21"/>
        </w:rPr>
        <w:t>5.5.2 验收按国家有关的规定、规范进行。验收时如发现所交付的货物有短装、次品、损坏或其它不符合本合同规定之情形者，甲方应做出详尽的现场记录，或由甲乙双方签署备忘录。此现场记录或备忘录可用作补充、缺失和更换损坏部件的有效证据。由此产生的有关费用由乙方承担，验收期限相应后延。</w:t>
      </w:r>
    </w:p>
    <w:p>
      <w:pPr>
        <w:pStyle w:val="null3"/>
        <w:jc w:val="both"/>
      </w:pPr>
      <w:r>
        <w:rPr>
          <w:sz w:val="21"/>
        </w:rPr>
        <w:t>5.5.3 如果合同货物运输和安装调试过程中因事故造成货物短缺、损坏，乙方应及时安排换装，以保证合同货物安装调试的成功完成。换货的相关费用由乙方承担。</w:t>
      </w:r>
    </w:p>
    <w:p>
      <w:pPr>
        <w:pStyle w:val="null3"/>
        <w:jc w:val="both"/>
      </w:pPr>
      <w:r>
        <w:rPr>
          <w:sz w:val="21"/>
        </w:rPr>
        <w:t>5.5.4 国内产品或合资厂的产品必须具备出厂合格证、产品使用说明书、保修证明。</w:t>
      </w:r>
    </w:p>
    <w:p>
      <w:pPr>
        <w:pStyle w:val="null3"/>
        <w:jc w:val="both"/>
      </w:pPr>
      <w:r>
        <w:rPr>
          <w:sz w:val="21"/>
        </w:rPr>
        <w:t>5.5.5 进口产品必须具备商检部门的检验证明。</w:t>
      </w:r>
    </w:p>
    <w:p>
      <w:pPr>
        <w:pStyle w:val="null3"/>
        <w:jc w:val="both"/>
      </w:pPr>
      <w:r>
        <w:rPr>
          <w:sz w:val="21"/>
        </w:rPr>
        <w:t>5.5.6 属国家强检范围内的计量器具由乙方完成首次计量检定并取得计量检定证书。</w:t>
      </w:r>
    </w:p>
    <w:p>
      <w:pPr>
        <w:pStyle w:val="null3"/>
        <w:jc w:val="both"/>
      </w:pPr>
      <w:r>
        <w:rPr>
          <w:sz w:val="21"/>
        </w:rPr>
        <w:t>5.6  如乙方没有及时提供相关证件（如商检证等），有可能影响验收进程，所导致的经济损失，由乙方自行承担。</w:t>
      </w:r>
    </w:p>
    <w:p>
      <w:pPr>
        <w:pStyle w:val="null3"/>
        <w:jc w:val="both"/>
      </w:pPr>
      <w:r>
        <w:rPr>
          <w:sz w:val="21"/>
        </w:rPr>
        <w:t>5.7  乙方保证合同项下提供的货物不侵犯任何第三方的专利、商标或版权等合法权益，乙方保证货物未设定任何抵押、质押等涉及任何第三方的权益。否则，乙方须承担对第三方的专利、商标或版权以及其他权益的全部法律责任并承担因此而发生的所有费用；如因此给甲方造成损失的，乙方赔偿甲方包括诉讼费、律师费等法律费用在内的全部损失。</w:t>
      </w:r>
    </w:p>
    <w:p>
      <w:pPr>
        <w:pStyle w:val="null3"/>
        <w:jc w:val="both"/>
      </w:pPr>
      <w:r>
        <w:rPr>
          <w:sz w:val="21"/>
          <w:b/>
        </w:rPr>
        <w:t>6、质量保证及售后服务</w:t>
      </w:r>
    </w:p>
    <w:p>
      <w:pPr>
        <w:pStyle w:val="null3"/>
        <w:jc w:val="both"/>
      </w:pPr>
      <w:r>
        <w:rPr>
          <w:sz w:val="21"/>
        </w:rPr>
        <w:t>6.1 乙方保证合同货物是全新、未曾使用过的，其质量、规格及技术特征符合合同附件的要求。每台货物上均应有铭牌（内容包括：制造商、货物名称、型号规格、出厂日期、机身号等）并附有产品质量检验合格标志及复印进口产品报关单和商检证明并统一加盖乙方公章。乙方应提供货物的装箱清单、用户手册、保修卡（或保修文件）、随机资料及配件、随机工具等；乙方不能完整交付上述资料的，视为未按合同约定交付。</w:t>
      </w:r>
    </w:p>
    <w:p>
      <w:pPr>
        <w:pStyle w:val="null3"/>
        <w:jc w:val="both"/>
      </w:pPr>
      <w:r>
        <w:rPr>
          <w:sz w:val="21"/>
        </w:rPr>
        <w:t>6.2 合同货物免费保修期按</w:t>
      </w:r>
      <w:r>
        <w:rPr>
          <w:sz w:val="21"/>
          <w:u w:val="single"/>
        </w:rPr>
        <w:t xml:space="preserve"> </w:t>
      </w:r>
      <w:r>
        <w:rPr>
          <w:sz w:val="21"/>
          <w:u w:val="single"/>
        </w:rPr>
        <w:t xml:space="preserve">     </w:t>
      </w:r>
      <w:r>
        <w:rPr>
          <w:sz w:val="21"/>
        </w:rPr>
        <w:t>执行；自验收之日起免费保修期</w:t>
      </w:r>
      <w:r>
        <w:rPr>
          <w:sz w:val="21"/>
          <w:u w:val="single"/>
        </w:rPr>
        <w:t xml:space="preserve">    </w:t>
      </w:r>
      <w:r>
        <w:rPr>
          <w:sz w:val="21"/>
        </w:rPr>
        <w:t>年，提供厂家售后服务承诺书。所配软件为最新版本，承诺终身免费升级软件。免费保修期内非甲方的人为原因而出现产品质量及安装问题，由乙方负责包修、包换或包退，并承担因此而产生的一切费用</w:t>
      </w:r>
      <w:r>
        <w:rPr>
          <w:sz w:val="21"/>
        </w:rPr>
        <w:t>,同时，相应延长免费保修期。乙方应在收到甲方通知后派员到现场维修。</w:t>
      </w:r>
    </w:p>
    <w:p>
      <w:pPr>
        <w:pStyle w:val="null3"/>
        <w:jc w:val="both"/>
      </w:pPr>
      <w:r>
        <w:rPr>
          <w:sz w:val="21"/>
        </w:rPr>
        <w:t>下列情况乙方不负责免费保修：</w:t>
      </w:r>
    </w:p>
    <w:p>
      <w:pPr>
        <w:pStyle w:val="null3"/>
        <w:jc w:val="both"/>
      </w:pPr>
      <w:r>
        <w:rPr>
          <w:sz w:val="21"/>
        </w:rPr>
        <w:t>（</w:t>
      </w:r>
      <w:r>
        <w:rPr>
          <w:sz w:val="21"/>
        </w:rPr>
        <w:t>1）甲方不按照乙方提供的正确使用方法而引致设备故障损坏；</w:t>
      </w:r>
    </w:p>
    <w:p>
      <w:pPr>
        <w:pStyle w:val="null3"/>
        <w:jc w:val="both"/>
      </w:pPr>
      <w:r>
        <w:rPr>
          <w:sz w:val="21"/>
        </w:rPr>
        <w:t>（</w:t>
      </w:r>
      <w:r>
        <w:rPr>
          <w:sz w:val="21"/>
        </w:rPr>
        <w:t>2）擅自改装设备；</w:t>
      </w:r>
    </w:p>
    <w:p>
      <w:pPr>
        <w:pStyle w:val="null3"/>
        <w:jc w:val="both"/>
      </w:pPr>
      <w:r>
        <w:rPr>
          <w:sz w:val="21"/>
        </w:rPr>
        <w:t>（</w:t>
      </w:r>
      <w:r>
        <w:rPr>
          <w:sz w:val="21"/>
        </w:rPr>
        <w:t>3）各种人为因素或天灾等外来因素造成的损坏。</w:t>
      </w:r>
    </w:p>
    <w:p>
      <w:pPr>
        <w:pStyle w:val="null3"/>
        <w:jc w:val="both"/>
      </w:pPr>
      <w:r>
        <w:rPr>
          <w:sz w:val="21"/>
        </w:rPr>
        <w:t>6.3 货物交付使用后以书面形式承诺维修服务，实行终身维护：</w:t>
      </w:r>
    </w:p>
    <w:p>
      <w:pPr>
        <w:pStyle w:val="null3"/>
        <w:jc w:val="both"/>
      </w:pPr>
      <w:r>
        <w:rPr>
          <w:sz w:val="21"/>
        </w:rPr>
        <w:t>保修期内，发生故障，服务人员接到甲方报修电话后应</w:t>
      </w:r>
      <w:r>
        <w:rPr>
          <w:sz w:val="21"/>
          <w:u w:val="single"/>
        </w:rPr>
        <w:t xml:space="preserve">      </w:t>
      </w:r>
      <w:r>
        <w:rPr>
          <w:sz w:val="21"/>
        </w:rPr>
        <w:t>内响应：如电话不能解决问题，服务人员应</w:t>
      </w:r>
      <w:r>
        <w:rPr>
          <w:sz w:val="21"/>
          <w:u w:val="single"/>
        </w:rPr>
        <w:t xml:space="preserve">       </w:t>
      </w:r>
      <w:r>
        <w:rPr>
          <w:sz w:val="21"/>
        </w:rPr>
        <w:t>内到现场排查。若未能在此时间内到达现场进行排查的，视同发生违约，每违约一次，延长本项目的保修期</w:t>
      </w:r>
      <w:r>
        <w:rPr>
          <w:sz w:val="21"/>
          <w:u w:val="single"/>
        </w:rPr>
        <w:t xml:space="preserve">       </w:t>
      </w:r>
      <w:r>
        <w:rPr>
          <w:sz w:val="21"/>
        </w:rPr>
        <w:t>天。</w:t>
      </w:r>
    </w:p>
    <w:p>
      <w:pPr>
        <w:pStyle w:val="null3"/>
        <w:jc w:val="both"/>
      </w:pPr>
      <w:r>
        <w:rPr>
          <w:sz w:val="21"/>
        </w:rPr>
        <w:t>6.4 所有保修服务方式均为乙方上门保修，即由乙方派员到甲方设备使用现场维修，由此产生的一切费用均由乙方承担。</w:t>
      </w:r>
    </w:p>
    <w:p>
      <w:pPr>
        <w:pStyle w:val="null3"/>
        <w:jc w:val="both"/>
      </w:pPr>
      <w:r>
        <w:rPr>
          <w:sz w:val="21"/>
        </w:rPr>
        <w:t>6.5 因设备的质量问题而发生争议，由广东省或广州市质检部门进行质量鉴定。设备符合质量</w:t>
      </w:r>
      <w:r>
        <w:rPr>
          <w:sz w:val="21"/>
        </w:rPr>
        <w:t>标准的，鉴定费用由甲方承担；设备不符合质量标准的，鉴定费用由乙方承担。</w:t>
      </w:r>
    </w:p>
    <w:p>
      <w:pPr>
        <w:pStyle w:val="null3"/>
        <w:jc w:val="both"/>
      </w:pPr>
      <w:r>
        <w:rPr>
          <w:sz w:val="21"/>
        </w:rPr>
        <w:t>6.6 乙方为甲方提供操作及维护培训，主要内容为设备的基本结构、性能、主要部件的构造及原理，日常使用操作、保养与管理，常见故障的排除，紧急情况的处理等，培训地点主要在设备安装现场或按甲乙双方协商安排。培训标准以采购人相关人员掌握设备性能及熟练安全操作为准。</w:t>
      </w:r>
    </w:p>
    <w:p>
      <w:pPr>
        <w:pStyle w:val="null3"/>
        <w:jc w:val="both"/>
      </w:pPr>
      <w:r>
        <w:rPr>
          <w:sz w:val="21"/>
        </w:rPr>
        <w:t>6.7乙方对甲方提供及时充足的零备件供应，保证</w:t>
      </w:r>
      <w:r>
        <w:rPr>
          <w:sz w:val="21"/>
          <w:u w:val="single"/>
        </w:rPr>
        <w:t xml:space="preserve">      </w:t>
      </w:r>
      <w:r>
        <w:rPr>
          <w:sz w:val="21"/>
        </w:rPr>
        <w:t>年以上供应期。</w:t>
      </w:r>
    </w:p>
    <w:p>
      <w:pPr>
        <w:pStyle w:val="null3"/>
        <w:jc w:val="both"/>
      </w:pPr>
      <w:r>
        <w:rPr>
          <w:sz w:val="21"/>
          <w:b/>
        </w:rPr>
        <w:t>7、付款方式</w:t>
      </w:r>
    </w:p>
    <w:p>
      <w:pPr>
        <w:pStyle w:val="null3"/>
        <w:jc w:val="both"/>
      </w:pPr>
      <w:r>
        <w:rPr>
          <w:sz w:val="21"/>
        </w:rPr>
        <w:t>7.1 本合同的每笔款项以人民币方式支付，支付的时间和金额如下：设备到甲方指定时间指定地点交付并清点货物齐全、完成安装</w:t>
      </w:r>
      <w:r>
        <w:rPr>
          <w:sz w:val="21"/>
        </w:rPr>
        <w:t>调试</w:t>
      </w:r>
      <w:r>
        <w:rPr>
          <w:sz w:val="21"/>
        </w:rPr>
        <w:t>、使用培训、验收合格后凭：</w:t>
      </w:r>
    </w:p>
    <w:p>
      <w:pPr>
        <w:pStyle w:val="null3"/>
        <w:jc w:val="left"/>
      </w:pPr>
      <w:r>
        <w:rPr>
          <w:sz w:val="21"/>
        </w:rPr>
        <w:t>（</w:t>
      </w:r>
      <w:r>
        <w:rPr>
          <w:sz w:val="21"/>
        </w:rPr>
        <w:t>1）安装验收调试报告、厂家售后服务承诺书等相关资料。</w:t>
      </w:r>
    </w:p>
    <w:p>
      <w:pPr>
        <w:pStyle w:val="null3"/>
        <w:jc w:val="left"/>
      </w:pPr>
      <w:r>
        <w:rPr>
          <w:sz w:val="21"/>
        </w:rPr>
        <w:t>（</w:t>
      </w:r>
      <w:r>
        <w:rPr>
          <w:sz w:val="21"/>
        </w:rPr>
        <w:t>2）乙方开具的全额正式发票（加盖乙方公章）</w:t>
      </w:r>
    </w:p>
    <w:p>
      <w:pPr>
        <w:pStyle w:val="null3"/>
        <w:jc w:val="both"/>
      </w:pPr>
      <w:r>
        <w:rPr>
          <w:sz w:val="21"/>
        </w:rPr>
        <w:t>在支付材料齐全情况下，</w:t>
      </w:r>
      <w:r>
        <w:rPr>
          <w:sz w:val="21"/>
        </w:rPr>
        <w:t>甲方</w:t>
      </w:r>
      <w:r>
        <w:rPr>
          <w:sz w:val="21"/>
        </w:rPr>
        <w:t>办理支付</w:t>
      </w:r>
      <w:r>
        <w:rPr>
          <w:sz w:val="21"/>
        </w:rPr>
        <w:t>乙方</w:t>
      </w:r>
      <w:r>
        <w:rPr>
          <w:sz w:val="21"/>
        </w:rPr>
        <w:t>100%的货款。</w:t>
      </w:r>
    </w:p>
    <w:p>
      <w:pPr>
        <w:pStyle w:val="null3"/>
        <w:ind w:left="555"/>
        <w:jc w:val="both"/>
      </w:pPr>
      <w:r>
        <w:rPr>
          <w:sz w:val="21"/>
          <w:b/>
        </w:rPr>
        <w:t>8、技术服务</w:t>
      </w:r>
    </w:p>
    <w:p>
      <w:pPr>
        <w:pStyle w:val="null3"/>
        <w:jc w:val="both"/>
      </w:pPr>
      <w:r>
        <w:rPr>
          <w:sz w:val="21"/>
        </w:rPr>
        <w:t>乙方应派员到甲方指定地点配合工作，按甲方提供的合同执行进度计划，配合甲方及有关单位，以此做好合同执行进度上的配合工作。</w:t>
      </w:r>
    </w:p>
    <w:p>
      <w:pPr>
        <w:pStyle w:val="null3"/>
        <w:jc w:val="both"/>
      </w:pPr>
      <w:r>
        <w:rPr>
          <w:sz w:val="21"/>
          <w:b/>
        </w:rPr>
        <w:t>9、不可抗力</w:t>
      </w:r>
    </w:p>
    <w:p>
      <w:pPr>
        <w:pStyle w:val="null3"/>
        <w:ind w:right="-420"/>
        <w:jc w:val="both"/>
      </w:pPr>
      <w:r>
        <w:rPr>
          <w:sz w:val="21"/>
        </w:rPr>
        <w:t>9.1 不可抗力指战争、严重火灾、洪水、台风、地震等或其它双方认定的不可抗力事件。</w:t>
      </w:r>
    </w:p>
    <w:p>
      <w:pPr>
        <w:pStyle w:val="null3"/>
        <w:ind w:right="-195"/>
        <w:jc w:val="both"/>
      </w:pPr>
      <w:r>
        <w:rPr>
          <w:sz w:val="21"/>
        </w:rPr>
        <w:t>9.2 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jc w:val="both"/>
      </w:pPr>
      <w:r>
        <w:rPr>
          <w:sz w:val="21"/>
          <w:b/>
        </w:rPr>
        <w:t>10、索赔</w:t>
      </w:r>
    </w:p>
    <w:p>
      <w:pPr>
        <w:pStyle w:val="null3"/>
        <w:jc w:val="both"/>
      </w:pPr>
      <w:r>
        <w:rPr>
          <w:sz w:val="21"/>
        </w:rPr>
        <w:t>10.1 如有异议，甲方有权根据有关政府部门的检验结果向乙方提出索赔。</w:t>
      </w:r>
    </w:p>
    <w:p>
      <w:pPr>
        <w:pStyle w:val="null3"/>
        <w:jc w:val="both"/>
      </w:pPr>
      <w:r>
        <w:rPr>
          <w:sz w:val="21"/>
        </w:rPr>
        <w:t>10.2 在合同执行期间，如果乙方对甲方提出的索赔和差异负有责任，乙方应按照甲方同意的下列一种或多种方式解决索赔事宜：</w:t>
      </w:r>
    </w:p>
    <w:p>
      <w:pPr>
        <w:pStyle w:val="null3"/>
        <w:jc w:val="both"/>
      </w:pPr>
      <w:r>
        <w:rPr>
          <w:sz w:val="21"/>
        </w:rPr>
        <w:t>（</w:t>
      </w:r>
      <w:r>
        <w:rPr>
          <w:sz w:val="21"/>
        </w:rPr>
        <w:t>1）乙方同意退货，并按合同规定的同种货币将货款退还给甲方，并承担由此发生的一切损失和费用。</w:t>
      </w:r>
    </w:p>
    <w:p>
      <w:pPr>
        <w:pStyle w:val="null3"/>
        <w:jc w:val="both"/>
      </w:pPr>
      <w:r>
        <w:rPr>
          <w:sz w:val="21"/>
        </w:rPr>
        <w:t>（</w:t>
      </w:r>
      <w:r>
        <w:rPr>
          <w:sz w:val="21"/>
        </w:rPr>
        <w:t>2）根据货物低劣程度、损坏程度以及甲方所遭受损失的数额甲乙双方商定降低货物的价格。</w:t>
      </w:r>
    </w:p>
    <w:p>
      <w:pPr>
        <w:pStyle w:val="null3"/>
        <w:jc w:val="both"/>
      </w:pPr>
      <w:r>
        <w:rPr>
          <w:sz w:val="21"/>
        </w:rPr>
        <w:t>（</w:t>
      </w:r>
      <w:r>
        <w:rPr>
          <w:sz w:val="21"/>
        </w:rPr>
        <w:t>3）用符合规格、质量和性能要求的新零件、部件或货物来更换有缺陷的部分或修补缺陷的部分，乙方应承担一切费用和风险并负有甲方所发生的一切直接费用。同时，相应延长免费保修期。</w:t>
      </w:r>
    </w:p>
    <w:p>
      <w:pPr>
        <w:pStyle w:val="null3"/>
        <w:jc w:val="both"/>
      </w:pPr>
      <w:r>
        <w:rPr>
          <w:sz w:val="21"/>
        </w:rPr>
        <w:t>10.3 如果在甲方发出索赔通知后30天内，乙方未作答复，上述索赔应视为已被乙方接受。甲方将从合同款项中扣回索赔金额。如果这些金额不足以补偿索赔金额，甲方有权向乙方提出不足部分的补偿。</w:t>
      </w:r>
    </w:p>
    <w:p>
      <w:pPr>
        <w:pStyle w:val="null3"/>
        <w:jc w:val="both"/>
      </w:pPr>
      <w:r>
        <w:rPr>
          <w:sz w:val="21"/>
          <w:b/>
        </w:rPr>
        <w:t>11、违约与处罚</w:t>
      </w:r>
    </w:p>
    <w:p>
      <w:pPr>
        <w:pStyle w:val="null3"/>
        <w:jc w:val="both"/>
      </w:pPr>
      <w:r>
        <w:rPr>
          <w:sz w:val="21"/>
        </w:rPr>
        <w:t>11.1 甲方按本合同约定的付款条件，依合同规定时间内，向乙方支付货款，如因甲方原因导致逾期付款，则每拖延一天乙方可向甲方加收应付未付金额的0.</w:t>
      </w:r>
      <w:r>
        <w:rPr>
          <w:sz w:val="21"/>
        </w:rPr>
        <w:t>5</w:t>
      </w:r>
      <w:r>
        <w:rPr>
          <w:sz w:val="21"/>
        </w:rPr>
        <w:t>‰的违约金，该违约金额不超过合同总价的5%。</w:t>
      </w:r>
    </w:p>
    <w:p>
      <w:pPr>
        <w:pStyle w:val="null3"/>
        <w:jc w:val="both"/>
      </w:pPr>
      <w:r>
        <w:rPr>
          <w:sz w:val="21"/>
        </w:rPr>
        <w:t>11.2 若乙方未能按时交货，每拖延一天，须向甲方支付合同总价的0.5‰的违约金，该违约金额不超过合同总价的5%，或甲方同意后乙方延长相应货物的保修服务时间。乙方逾期交货30天以上的，视为乙方未能交付货物，甲方有权解除合同，乙方应在30天内退还甲方已支付的所有款项，并按第11.3条款约定向甲方支付违约金。</w:t>
      </w:r>
    </w:p>
    <w:p>
      <w:pPr>
        <w:pStyle w:val="null3"/>
        <w:jc w:val="both"/>
      </w:pPr>
      <w:r>
        <w:rPr>
          <w:sz w:val="21"/>
        </w:rPr>
        <w:t>11.3 乙方未能交付货物，除退还甲方已支付的全部款项外，还应向甲方支付合同总价的7.5%的违约金。</w:t>
      </w:r>
    </w:p>
    <w:p>
      <w:pPr>
        <w:pStyle w:val="null3"/>
        <w:jc w:val="both"/>
      </w:pPr>
      <w:r>
        <w:rPr>
          <w:sz w:val="21"/>
        </w:rPr>
        <w:t>11.4 若乙方交付的货物不符合合同约定的，甲方有权拒收，乙方应在收到甲方拒收通知后30天内退还甲方已支付的所有款项，并且乙方向甲方支付合同总价的5%的违约金。</w:t>
      </w:r>
    </w:p>
    <w:p>
      <w:pPr>
        <w:pStyle w:val="null3"/>
        <w:jc w:val="both"/>
      </w:pPr>
      <w:r>
        <w:rPr>
          <w:sz w:val="21"/>
        </w:rPr>
        <w:t>11.5 若乙方违反本合同约定的安装、调试及验收的内容，或乙方未能按约定和甲方实际需求交付相关文书和提供设备的使用培训等附随义务的，每拖延一天，须向甲方支付合同总价的0.5‰的违约金；乙方拖延超过30天以上的，视为乙方严重违约致使甲方难以实现合同目的，甲方有权解除合同，乙方应在30天内退还甲方已支付的所有款项，并按第11.3条的标准向甲方支付违约金。</w:t>
      </w:r>
    </w:p>
    <w:p>
      <w:pPr>
        <w:pStyle w:val="null3"/>
        <w:jc w:val="both"/>
      </w:pPr>
      <w:r>
        <w:rPr>
          <w:sz w:val="21"/>
        </w:rPr>
        <w:t>11.6 若乙方违反本合同约定的维修保养等售后服务的，每拖延一天，须向甲方支付合同总价的0.5‰的违约金，或经甲方同意后乙方延长相应货物的保修服务时间。乙方拖延期间，甲方有权委托第三方进行维修保养，乙方承担由此产生的费用和造成的损失。</w:t>
      </w:r>
    </w:p>
    <w:p>
      <w:pPr>
        <w:pStyle w:val="null3"/>
        <w:jc w:val="both"/>
      </w:pPr>
      <w:r>
        <w:rPr>
          <w:sz w:val="21"/>
        </w:rPr>
        <w:t>11.7 如果本合同第11.2条至第11.4条约定的违约金不足以弥补甲方损失的，乙方赔偿甲方包括诉讼费、律师费等法律费用在内的全部损失。</w:t>
      </w:r>
    </w:p>
    <w:p>
      <w:pPr>
        <w:pStyle w:val="null3"/>
        <w:jc w:val="both"/>
      </w:pPr>
      <w:r>
        <w:rPr>
          <w:sz w:val="21"/>
          <w:b/>
        </w:rPr>
        <w:t>12、合同终止</w:t>
      </w:r>
    </w:p>
    <w:p>
      <w:pPr>
        <w:pStyle w:val="null3"/>
        <w:jc w:val="both"/>
      </w:pPr>
      <w:r>
        <w:rPr>
          <w:sz w:val="21"/>
        </w:rPr>
        <w:t>如果一方严重违反合同，并在收到对方违约通知书后在</w:t>
      </w:r>
      <w:r>
        <w:rPr>
          <w:sz w:val="21"/>
        </w:rPr>
        <w:t>30天内仍未能改正违约的（包括但不限于甲方无理由拒绝支付货款、乙方逾期交货超过30天未改正的、乙方交货不符合合同约定超过30天未改正的、乙方违反本合同安装、调试、验收、附随义务和售后服务超过30天未改正的、乙方其他违约行为致使甲方难以实现合同目的的），另一方可立即终止本合同。</w:t>
      </w:r>
    </w:p>
    <w:p>
      <w:pPr>
        <w:pStyle w:val="null3"/>
        <w:jc w:val="both"/>
      </w:pPr>
      <w:r>
        <w:rPr>
          <w:sz w:val="21"/>
          <w:b/>
        </w:rPr>
        <w:t>13、法律诉讼</w:t>
      </w:r>
    </w:p>
    <w:p>
      <w:pPr>
        <w:pStyle w:val="null3"/>
        <w:jc w:val="both"/>
      </w:pPr>
      <w:r>
        <w:rPr>
          <w:sz w:val="21"/>
        </w:rPr>
        <w:t>签约双方在履约中发生争执和分歧，双方应通过友好协商解决，若经协商不能达成协议时，则向甲方所在地人民法院提起诉讼。受理期间，双方应继续执行合同其余部分。</w:t>
      </w:r>
    </w:p>
    <w:p>
      <w:pPr>
        <w:pStyle w:val="null3"/>
        <w:jc w:val="both"/>
      </w:pPr>
      <w:r>
        <w:rPr>
          <w:sz w:val="21"/>
          <w:b/>
        </w:rPr>
        <w:t>14、通知与送达</w:t>
      </w:r>
    </w:p>
    <w:p>
      <w:pPr>
        <w:pStyle w:val="null3"/>
        <w:jc w:val="both"/>
      </w:pPr>
      <w:r>
        <w:rPr>
          <w:sz w:val="21"/>
        </w:rPr>
        <w:t>双方在本合同履行过程中相互发出或者提供的所有通知、文件、文书、资料等，均以本合同所列明的地址送达。一方如果迁址或者变更电话，应当书面通知对方，未履行通知义务的，另一方按原地址邮寄相关材料即视为已履行送达义务。当面交付上述材料的，在交付之时视为送达；以邮寄方式交付的，寄出或者投邮即视为送达。</w:t>
      </w:r>
    </w:p>
    <w:p>
      <w:pPr>
        <w:pStyle w:val="null3"/>
        <w:jc w:val="both"/>
      </w:pPr>
      <w:r>
        <w:rPr>
          <w:sz w:val="21"/>
          <w:b/>
        </w:rPr>
        <w:t>15、其它</w:t>
      </w:r>
    </w:p>
    <w:p>
      <w:pPr>
        <w:pStyle w:val="null3"/>
        <w:jc w:val="both"/>
      </w:pPr>
      <w:r>
        <w:rPr>
          <w:sz w:val="21"/>
        </w:rPr>
        <w:t xml:space="preserve">15.1 </w:t>
      </w:r>
      <w:r>
        <w:rPr>
          <w:sz w:val="21"/>
        </w:rPr>
        <w:t>本合同正本四份，具有同等法律效力，甲方执两份、乙方执一份，采购代理机构执一份。合同自签字盖章之日起即时生效。</w:t>
      </w:r>
    </w:p>
    <w:p>
      <w:pPr>
        <w:pStyle w:val="null3"/>
        <w:jc w:val="both"/>
      </w:pPr>
      <w:r>
        <w:rPr>
          <w:sz w:val="21"/>
        </w:rPr>
        <w:t xml:space="preserve">15.2 </w:t>
      </w:r>
      <w:r>
        <w:rPr>
          <w:sz w:val="21"/>
        </w:rPr>
        <w:t>乙方完全遵守《中华人民共和国劳动合同法》有关规定和《中华人民共和国妇女权益保障法》中关于</w:t>
      </w:r>
      <w:r>
        <w:rPr>
          <w:sz w:val="21"/>
        </w:rPr>
        <w:t>“劳动和社会保障权益”的有关要求。</w:t>
      </w:r>
    </w:p>
    <w:p>
      <w:pPr>
        <w:pStyle w:val="null3"/>
        <w:jc w:val="both"/>
      </w:pPr>
      <w:r>
        <w:rPr>
          <w:sz w:val="21"/>
        </w:rPr>
        <w:t>15.3</w:t>
      </w:r>
      <w:r>
        <w:rPr>
          <w:sz w:val="21"/>
        </w:rPr>
        <w:t>乙方应遵守《中华人民共和国政府采购法》及其相关规定，如有违反，甲方将上报政府采购监督管理部门，造成甲方损失的，甲方追究乙方责任。</w:t>
      </w:r>
    </w:p>
    <w:p>
      <w:pPr>
        <w:pStyle w:val="null3"/>
        <w:jc w:val="both"/>
      </w:pPr>
      <w:r>
        <w:rPr>
          <w:sz w:val="21"/>
        </w:rPr>
        <w:t xml:space="preserve">15.4  </w:t>
      </w:r>
      <w:r>
        <w:rPr>
          <w:sz w:val="21"/>
        </w:rPr>
        <w:t>本合同约定的货物，指的是包括</w:t>
      </w:r>
      <w:r>
        <w:rPr>
          <w:sz w:val="21"/>
          <w:u w:val="single"/>
        </w:rPr>
        <w:t xml:space="preserve"> </w:t>
      </w:r>
      <w:r>
        <w:rPr>
          <w:sz w:val="21"/>
          <w:u w:val="single"/>
        </w:rPr>
        <w:t xml:space="preserve">         </w:t>
      </w:r>
      <w:r>
        <w:rPr>
          <w:sz w:val="21"/>
        </w:rPr>
        <w:t>原厂设备及第三方产品在内的全部设备和产品的配置，以及相关系统。见附件</w:t>
      </w:r>
      <w:r>
        <w:rPr>
          <w:sz w:val="21"/>
          <w:u w:val="single"/>
        </w:rPr>
        <w:t xml:space="preserve"> </w:t>
      </w:r>
      <w:r>
        <w:rPr>
          <w:sz w:val="21"/>
          <w:u w:val="single"/>
        </w:rPr>
        <w:t xml:space="preserve">        </w:t>
      </w:r>
      <w:r>
        <w:rPr>
          <w:sz w:val="21"/>
        </w:rPr>
        <w:t>。</w:t>
      </w:r>
    </w:p>
    <w:p>
      <w:pPr>
        <w:pStyle w:val="null3"/>
        <w:jc w:val="both"/>
      </w:pPr>
      <w:r>
        <w:rPr>
          <w:sz w:val="21"/>
        </w:rPr>
        <w:t>15.5 本合同未尽事宜，由双方协商处理。</w:t>
      </w:r>
    </w:p>
    <w:p>
      <w:pPr>
        <w:pStyle w:val="null3"/>
        <w:jc w:val="both"/>
      </w:pPr>
      <w:r>
        <w:rPr/>
        <w:t xml:space="preserve"> </w:t>
      </w:r>
    </w:p>
    <w:p>
      <w:pPr>
        <w:pStyle w:val="null3"/>
        <w:spacing w:before="255" w:after="255"/>
        <w:jc w:val="both"/>
        <w:outlineLvl w:val="1"/>
      </w:pPr>
      <w:r>
        <w:rPr>
          <w:sz w:val="21"/>
        </w:rPr>
        <w:t>甲方（公章）：</w:t>
      </w:r>
      <w:r>
        <w:rPr>
          <w:sz w:val="21"/>
        </w:rPr>
        <w:t xml:space="preserve">                                 </w:t>
      </w:r>
      <w:r>
        <w:rPr>
          <w:sz w:val="21"/>
        </w:rPr>
        <w:t>乙方（公章）：</w:t>
      </w:r>
    </w:p>
    <w:p>
      <w:pPr>
        <w:pStyle w:val="null3"/>
        <w:jc w:val="both"/>
      </w:pPr>
      <w:r>
        <w:rPr>
          <w:sz w:val="21"/>
        </w:rPr>
        <w:t>广州医科大学附属第二医院</w:t>
      </w:r>
      <w:r>
        <w:rPr>
          <w:sz w:val="21"/>
        </w:rPr>
        <w:t xml:space="preserve">               </w:t>
      </w:r>
      <w:r>
        <w:rPr>
          <w:sz w:val="21"/>
        </w:rPr>
        <w:t xml:space="preserve">       </w:t>
      </w:r>
      <w:r>
        <w:rPr>
          <w:sz w:val="21"/>
          <w:u w:val="single"/>
        </w:rPr>
        <w:t xml:space="preserve">                              </w:t>
      </w:r>
    </w:p>
    <w:p>
      <w:pPr>
        <w:pStyle w:val="null3"/>
        <w:jc w:val="both"/>
      </w:pPr>
      <w:r>
        <w:rPr>
          <w:sz w:val="21"/>
        </w:rPr>
        <w:t>法定代表人（签字或盖章）</w:t>
      </w:r>
      <w:r>
        <w:rPr>
          <w:sz w:val="21"/>
        </w:rPr>
        <w:t xml:space="preserve">                     </w:t>
      </w:r>
      <w:r>
        <w:rPr>
          <w:sz w:val="21"/>
        </w:rPr>
        <w:t>法定代表人（签字或盖章）</w:t>
      </w:r>
    </w:p>
    <w:p>
      <w:pPr>
        <w:pStyle w:val="null3"/>
        <w:jc w:val="both"/>
      </w:pPr>
      <w:r>
        <w:rPr>
          <w:sz w:val="21"/>
        </w:rPr>
        <w:t>签约代表：</w:t>
      </w:r>
      <w:r>
        <w:rPr>
          <w:sz w:val="21"/>
        </w:rPr>
        <w:t xml:space="preserve">                                     </w:t>
      </w:r>
      <w:r>
        <w:rPr>
          <w:sz w:val="21"/>
        </w:rPr>
        <w:t>签约代表：</w:t>
      </w:r>
    </w:p>
    <w:p>
      <w:pPr>
        <w:pStyle w:val="null3"/>
        <w:jc w:val="both"/>
      </w:pPr>
      <w:r>
        <w:rPr>
          <w:sz w:val="21"/>
        </w:rPr>
        <w:t>地址：广州市海珠区昌岗东路</w:t>
      </w:r>
      <w:r>
        <w:rPr>
          <w:sz w:val="21"/>
        </w:rPr>
        <w:t>250号                地址：</w:t>
      </w:r>
    </w:p>
    <w:p>
      <w:pPr>
        <w:pStyle w:val="null3"/>
        <w:jc w:val="both"/>
      </w:pPr>
      <w:r>
        <w:rPr>
          <w:sz w:val="21"/>
        </w:rPr>
        <w:t>电话：</w:t>
      </w:r>
      <w:r>
        <w:rPr>
          <w:sz w:val="21"/>
        </w:rPr>
        <w:t>020-34153258                             电话：</w:t>
      </w:r>
    </w:p>
    <w:p>
      <w:pPr>
        <w:pStyle w:val="null3"/>
        <w:jc w:val="both"/>
      </w:pPr>
      <w:r>
        <w:rPr>
          <w:sz w:val="21"/>
        </w:rPr>
        <w:t>签约日期：</w:t>
      </w:r>
      <w:r>
        <w:rPr>
          <w:sz w:val="21"/>
        </w:rPr>
        <w:t>20   年  月   日                     签约日期：20   年   月   日</w:t>
      </w:r>
      <w:r>
        <w:rPr>
          <w:sz w:val="21"/>
          <w:b/>
        </w:rPr>
        <w:t xml:space="preserve">  </w:t>
      </w:r>
    </w:p>
    <w:p>
      <w:pPr>
        <w:pStyle w:val="null3"/>
        <w:ind w:left="4950"/>
        <w:jc w:val="both"/>
      </w:pPr>
      <w:r>
        <w:rPr>
          <w:sz w:val="21"/>
        </w:rPr>
        <w:t>开户银行：</w:t>
      </w:r>
    </w:p>
    <w:p>
      <w:pPr>
        <w:pStyle w:val="null3"/>
        <w:ind w:firstLine="4956"/>
        <w:jc w:val="both"/>
      </w:pPr>
      <w:r>
        <w:rPr>
          <w:sz w:val="21"/>
        </w:rPr>
        <w:t>账号：</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440101-2026-00692</w:t>
      </w:r>
    </w:p>
    <w:p>
      <w:pPr>
        <w:pStyle w:val="null3"/>
        <w:jc w:val="center"/>
        <w:outlineLvl w:val="3"/>
      </w:pPr>
      <w:r>
        <w:rPr>
          <w:sz w:val="24"/>
          <w:b/>
        </w:rPr>
        <w:t>采购项目编号：</w:t>
      </w:r>
      <w:r>
        <w:rPr>
          <w:sz w:val="24"/>
          <w:b/>
        </w:rPr>
        <w:t>3587-2512GZG11212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广州医科大学附属第二医院采购医疗设备招标项目</w:t>
      </w:r>
      <w:r>
        <w:rPr>
          <w:u w:val="single"/>
        </w:rPr>
        <w:t>”</w:t>
      </w:r>
      <w:r>
        <w:rPr/>
        <w:t>项目的招标[采购项目编号为：</w:t>
      </w:r>
      <w:r>
        <w:rPr>
          <w:u w:val="single"/>
        </w:rPr>
        <w:t>3587-2512GZG11212</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广州医科大学附属第二医院采购医疗设备招标项目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广州医科大学附属第二医院采购医疗设备招标项目</w:t>
      </w:r>
      <w:r>
        <w:rPr/>
        <w:t>”项目采购[采购项目编号为</w:t>
      </w:r>
      <w:r>
        <w:rPr/>
        <w:t>3587-2512GZG11212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广州医科大学附属第二医院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广州医科大学附属第二医院采购医疗设备招标项目</w:t>
      </w:r>
      <w:r>
        <w:rPr/>
        <w:t>招标中获中标（采购项目编号：</w:t>
      </w:r>
      <w:r>
        <w:rPr/>
        <w:t>3587-2512GZG11212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