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194D9">
      <w:pPr>
        <w:pStyle w:val="10"/>
        <w:widowControl/>
        <w:jc w:val="center"/>
        <w:outlineLvl w:val="1"/>
        <w:rPr>
          <w:rFonts w:hint="eastAsia" w:ascii="宋体" w:hAnsi="宋体" w:eastAsia="宋体" w:cs="宋体"/>
          <w:color w:val="auto"/>
          <w:highlight w:val="none"/>
          <w:lang w:val="en-US"/>
        </w:rPr>
      </w:pPr>
      <w:r>
        <w:rPr>
          <w:rFonts w:hint="eastAsia" w:ascii="宋体" w:hAnsi="宋体" w:eastAsia="宋体" w:cs="宋体"/>
          <w:b/>
          <w:bCs w:val="0"/>
          <w:color w:val="auto"/>
          <w:sz w:val="36"/>
          <w:szCs w:val="20"/>
          <w:highlight w:val="none"/>
          <w:lang w:eastAsia="zh-CN"/>
        </w:rPr>
        <w:t>采购需求</w:t>
      </w:r>
    </w:p>
    <w:p w14:paraId="5194A2BB">
      <w:pPr>
        <w:pStyle w:val="2"/>
        <w:widowControl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一、移植检测项目汇总表</w:t>
      </w:r>
    </w:p>
    <w:tbl>
      <w:tblPr>
        <w:tblStyle w:val="7"/>
        <w:tblW w:w="91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3786"/>
        <w:gridCol w:w="3078"/>
        <w:gridCol w:w="1631"/>
      </w:tblGrid>
      <w:tr w14:paraId="2EB18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1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57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移植检测项目汇总表</w:t>
            </w:r>
          </w:p>
        </w:tc>
      </w:tr>
      <w:tr w14:paraId="2E32A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20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42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E7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核心临床意义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C3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报告时间</w:t>
            </w:r>
          </w:p>
        </w:tc>
      </w:tr>
      <w:tr w14:paraId="5DF0C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25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14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群体反应性抗体（PRA）百分比定量检测）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1C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移植术前筛查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34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当日或次日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可加急</w:t>
            </w:r>
          </w:p>
        </w:tc>
      </w:tr>
      <w:tr w14:paraId="07427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5F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24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HLA特异性抗体检测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50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检测HLA抗体，识别高致敏患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者，预测排斥风险，指导脱敏治疗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6F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1个工作日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可加急</w:t>
            </w:r>
          </w:p>
        </w:tc>
      </w:tr>
      <w:tr w14:paraId="520E5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B1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37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HLA高分辨基因分型检测(NGS)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2A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提供11位点精准等位基因分型，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用于造血干细胞移植供者选择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及DSA精准判定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AD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5个工作日</w:t>
            </w:r>
          </w:p>
        </w:tc>
      </w:tr>
      <w:tr w14:paraId="0C2C6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BB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1A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补体结合特异性抗HLA抗体检测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(Clq-HLA)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7D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识别具有补体激活能力的高危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抗体，精准预测AMR风险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30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1个工作日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可加急</w:t>
            </w:r>
          </w:p>
        </w:tc>
      </w:tr>
      <w:tr w14:paraId="79F00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BC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21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HLA补充位点抗体检测(补充珠)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C8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提高对中国人群HLA抗体覆盖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率，避免漏检，适用高致敏患者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74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1个工作日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可加急</w:t>
            </w:r>
          </w:p>
        </w:tc>
      </w:tr>
      <w:tr w14:paraId="122A5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56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77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流式细胞毒交叉配型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(Flow-CDC)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73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移植前交叉配型金标准，客观检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测供者特异性补体依赖性抗体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20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24小时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(加急6-8小时)</w:t>
            </w:r>
          </w:p>
        </w:tc>
      </w:tr>
      <w:tr w14:paraId="70C9B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70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AE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流式交叉配型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(FC-XM)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85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高灵敏度检测针对供者T/B细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胞的低水平抗体，弥补CDC不足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59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24小时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(加急6-8小时)</w:t>
            </w:r>
          </w:p>
        </w:tc>
      </w:tr>
      <w:tr w14:paraId="7AD1A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54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D4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特异性流式交叉配型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(Flow-DSA)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2F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直接检测供者特异性HLA抗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体，区分I/II类，不依赖补体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8F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24小时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(加急6-8小时)</w:t>
            </w:r>
          </w:p>
        </w:tc>
      </w:tr>
      <w:tr w14:paraId="3BE02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0F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D9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Flow-CDC+利妥昔单抗纠正实验(RCA)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05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鉴别阳性结果由HLA抗体还是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非HLA抗体(如抗CD20)引起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37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24小时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(加急6-8小时)</w:t>
            </w:r>
          </w:p>
        </w:tc>
      </w:tr>
      <w:tr w14:paraId="46704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54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CD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供者来源游离DNA检测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(dd-cfDNA)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3B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无创动态监测移植物损伤，早期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预警排斥反应，减少穿刺活检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D4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24小时</w:t>
            </w:r>
          </w:p>
        </w:tc>
      </w:tr>
      <w:tr w14:paraId="735D8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55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07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霉酚酸(MPA)血药浓度检测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2F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抗增殖类免疫抑制剂，推荐AUC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监测，个体内/间差异大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9E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当日或次日</w:t>
            </w:r>
          </w:p>
        </w:tc>
      </w:tr>
      <w:tr w14:paraId="0B1C5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46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52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环孢素血药浓度检测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34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经典CNI,肾毒性需浓度控制，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儿童推荐C2监测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CD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当日或次日</w:t>
            </w:r>
          </w:p>
        </w:tc>
      </w:tr>
      <w:tr w14:paraId="16714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02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38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西罗莫司血药浓度检测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DC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mTOR抑制剂，治疗窗5-15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ng/mL,儿童需监测游离浓度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A8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当日或次日</w:t>
            </w:r>
          </w:p>
        </w:tc>
      </w:tr>
      <w:tr w14:paraId="3EB54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98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0A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依库珠单抗血药浓度检测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52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C5补体抑制剂，监测血药浓度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优化给药，平衡疗效与感染风险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25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当日或次日</w:t>
            </w:r>
          </w:p>
        </w:tc>
      </w:tr>
      <w:tr w14:paraId="74C28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96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93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B19病毒(人细小病毒B19)定量检测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CD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致纯红细胞再生障碍性贫血，影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响移植物功能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86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当日或次日</w:t>
            </w:r>
          </w:p>
        </w:tc>
      </w:tr>
      <w:tr w14:paraId="7CC54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8D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57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HLA-A/B/C/DRB1/DQB1/DQA1/DPB1/DPA1中低分辨基因分型检测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97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器官分配前必须完成，是启动捐献器官分配的前置条件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78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6小时内</w:t>
            </w:r>
          </w:p>
        </w:tc>
      </w:tr>
    </w:tbl>
    <w:p w14:paraId="03741AC4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除上述基础检测服务能力外，参选机构必须配套提供全流程技术支持与专业化临床科研咨询服务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68005C7A">
      <w:pPr>
        <w:pStyle w:val="2"/>
        <w:widowControl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bookmarkStart w:id="0" w:name="heading_4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全程技术支持服务</w:t>
      </w:r>
      <w:bookmarkEnd w:id="0"/>
    </w:p>
    <w:p w14:paraId="7DE09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参选机构需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有</w:t>
      </w:r>
      <w:r>
        <w:rPr>
          <w:rFonts w:hint="eastAsia" w:ascii="宋体" w:hAnsi="宋体" w:eastAsia="宋体" w:cs="宋体"/>
          <w:sz w:val="24"/>
          <w:szCs w:val="24"/>
        </w:rPr>
        <w:t>专业技术服务团队，为我方提供覆盖检测全流程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的</w:t>
      </w:r>
      <w:r>
        <w:rPr>
          <w:rFonts w:hint="eastAsia" w:ascii="宋体" w:hAnsi="宋体" w:eastAsia="宋体" w:cs="宋体"/>
          <w:sz w:val="24"/>
          <w:szCs w:val="24"/>
        </w:rPr>
        <w:t>技术支撑服务。实时响应我方技术咨询，针对相关问题提供专业答疑指导。针对检测过程中出现的异常情况、特殊问题，需第一时间反馈并出具专项技术分析说明。检测完成后，需针对检测报告内容、核心数据、指标意义、结果应用场景、异常数据成因等进行专业解读，提供针对性答疑与应用指导。此外，需常态化为我方提供行业新标准、检测新技术、质控新规范的解读与培训</w:t>
      </w:r>
      <w:bookmarkStart w:id="2" w:name="_GoBack"/>
      <w:bookmarkEnd w:id="2"/>
      <w:r>
        <w:rPr>
          <w:rFonts w:hint="eastAsia" w:ascii="宋体" w:hAnsi="宋体" w:eastAsia="宋体" w:cs="宋体"/>
          <w:sz w:val="24"/>
          <w:szCs w:val="24"/>
        </w:rPr>
        <w:t>服务，助力我方工作人员提升专业业务能力。</w:t>
      </w:r>
    </w:p>
    <w:p w14:paraId="4E264706">
      <w:pPr>
        <w:pStyle w:val="2"/>
        <w:widowControl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bookmarkStart w:id="1" w:name="heading_5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三、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临床科研咨询配套服务</w:t>
      </w:r>
      <w:bookmarkEnd w:id="1"/>
    </w:p>
    <w:p w14:paraId="5BC04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参选机构对送检标本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需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予以留存保存，不得在检测项目完成后直接处置丢弃，以备必要时复核、</w:t>
      </w:r>
      <w:r>
        <w:rPr>
          <w:rFonts w:hint="eastAsia" w:ascii="宋体" w:hAnsi="宋体" w:eastAsia="宋体" w:cs="宋体"/>
          <w:sz w:val="24"/>
          <w:szCs w:val="24"/>
        </w:rPr>
        <w:t>复检使用。为充分挖掘检测数据价值，赋能我方临床研究、学术创新、课题申报与成果转化工作，参选机构需具备成熟、完善的临床科研咨询服务能力，全方位提供科研赋能支持。</w:t>
      </w:r>
    </w:p>
    <w:p w14:paraId="3133A8D3">
      <w:pPr>
        <w:pStyle w:val="10"/>
        <w:widowControl/>
        <w:rPr>
          <w:rFonts w:hint="default" w:ascii="宋体" w:hAnsi="宋体" w:eastAsia="宋体" w:cs="宋体"/>
          <w:color w:val="auto"/>
          <w:sz w:val="24"/>
          <w:szCs w:val="20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E0362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2E0CA1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2E0CA1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8F59AB"/>
    <w:rsid w:val="00114C7F"/>
    <w:rsid w:val="0039012D"/>
    <w:rsid w:val="00DB5623"/>
    <w:rsid w:val="021B643E"/>
    <w:rsid w:val="055F2A93"/>
    <w:rsid w:val="07487F09"/>
    <w:rsid w:val="0CF87B8D"/>
    <w:rsid w:val="13AC5B97"/>
    <w:rsid w:val="13DA182D"/>
    <w:rsid w:val="14F0383F"/>
    <w:rsid w:val="16C17834"/>
    <w:rsid w:val="1BF60B6E"/>
    <w:rsid w:val="1D1B2C99"/>
    <w:rsid w:val="1D5D4465"/>
    <w:rsid w:val="1FB9701B"/>
    <w:rsid w:val="2A2277AC"/>
    <w:rsid w:val="2A4468E8"/>
    <w:rsid w:val="301607F4"/>
    <w:rsid w:val="310F4AAB"/>
    <w:rsid w:val="32CB5E5A"/>
    <w:rsid w:val="377D4D5C"/>
    <w:rsid w:val="3B53088E"/>
    <w:rsid w:val="3C5A141B"/>
    <w:rsid w:val="3E317495"/>
    <w:rsid w:val="3F1A64DC"/>
    <w:rsid w:val="441D78FE"/>
    <w:rsid w:val="44277F51"/>
    <w:rsid w:val="44617B03"/>
    <w:rsid w:val="484B629A"/>
    <w:rsid w:val="488743B9"/>
    <w:rsid w:val="4B310911"/>
    <w:rsid w:val="4BBC5351"/>
    <w:rsid w:val="4C883D82"/>
    <w:rsid w:val="4F1D760B"/>
    <w:rsid w:val="4FA83112"/>
    <w:rsid w:val="54A60E2C"/>
    <w:rsid w:val="55F63D2B"/>
    <w:rsid w:val="5A7A792D"/>
    <w:rsid w:val="5EE25EFA"/>
    <w:rsid w:val="60806DF2"/>
    <w:rsid w:val="6265613A"/>
    <w:rsid w:val="65605670"/>
    <w:rsid w:val="65AA5B01"/>
    <w:rsid w:val="65EA38B0"/>
    <w:rsid w:val="69044168"/>
    <w:rsid w:val="6A302406"/>
    <w:rsid w:val="6B2E7804"/>
    <w:rsid w:val="6C8F59AB"/>
    <w:rsid w:val="6E753D0F"/>
    <w:rsid w:val="717225CD"/>
    <w:rsid w:val="733B3EC8"/>
    <w:rsid w:val="73403348"/>
    <w:rsid w:val="74546174"/>
    <w:rsid w:val="757971CF"/>
    <w:rsid w:val="785726D7"/>
    <w:rsid w:val="78C11D93"/>
    <w:rsid w:val="7A835AF8"/>
    <w:rsid w:val="7EFE3751"/>
    <w:rsid w:val="7FCF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widowControl w:val="0"/>
      <w:suppressLineNumbers w:val="0"/>
      <w:spacing w:before="260" w:beforeAutospacing="0" w:after="260" w:afterAutospacing="0" w:line="412" w:lineRule="auto"/>
      <w:ind w:left="0" w:right="0"/>
      <w:jc w:val="both"/>
      <w:outlineLvl w:val="1"/>
    </w:pPr>
    <w:rPr>
      <w:rFonts w:ascii="Arial" w:hAnsi="Arial" w:eastAsia="黑体" w:cs="Times New Roman"/>
      <w:b/>
      <w:kern w:val="2"/>
      <w:sz w:val="32"/>
      <w:szCs w:val="24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widowControl w:val="0"/>
      <w:suppressLineNumbers w:val="0"/>
      <w:spacing w:before="260" w:beforeAutospacing="0" w:after="260" w:afterAutospacing="0" w:line="412" w:lineRule="auto"/>
      <w:ind w:left="0" w:right="0"/>
      <w:jc w:val="both"/>
      <w:outlineLvl w:val="2"/>
    </w:pPr>
    <w:rPr>
      <w:rFonts w:hint="default" w:ascii="Calibri" w:hAnsi="Calibri" w:eastAsia="宋体" w:cs="Times New Roman"/>
      <w:b/>
      <w:kern w:val="2"/>
      <w:sz w:val="32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null3"/>
    <w:basedOn w:val="1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default" w:ascii="Calibri" w:hAnsi="Calibri" w:eastAsia="宋体" w:cs="Times New Roman"/>
      <w:kern w:val="0"/>
      <w:sz w:val="20"/>
      <w:szCs w:val="20"/>
      <w:lang w:val="en-US" w:eastAsia="zh-CN" w:bidi="ar"/>
    </w:rPr>
  </w:style>
  <w:style w:type="paragraph" w:customStyle="1" w:styleId="11">
    <w:name w:val="图"/>
    <w:basedOn w:val="1"/>
    <w:qFormat/>
    <w:uiPriority w:val="0"/>
    <w:pPr>
      <w:keepNext/>
      <w:keepLines w:val="0"/>
      <w:widowControl w:val="0"/>
      <w:suppressLineNumbers w:val="0"/>
      <w:spacing w:before="60" w:beforeAutospacing="0" w:after="60" w:afterAutospacing="0" w:line="300" w:lineRule="auto"/>
      <w:ind w:left="0" w:right="0"/>
      <w:jc w:val="center"/>
    </w:pPr>
    <w:rPr>
      <w:rFonts w:hint="default" w:ascii="Calibri" w:hAnsi="Calibri" w:eastAsia="宋体" w:cs="Times New Roman"/>
      <w:spacing w:val="20"/>
      <w:kern w:val="2"/>
      <w:sz w:val="24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1116</Words>
  <Characters>1291</Characters>
  <Lines>0</Lines>
  <Paragraphs>0</Paragraphs>
  <TotalTime>2</TotalTime>
  <ScaleCrop>false</ScaleCrop>
  <LinksUpToDate>false</LinksUpToDate>
  <CharactersWithSpaces>1291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2026-05-03T01:19:00Z</dcterms:created>
  <dc:creator>海盗</dc:creator>
  <cp:lastModifiedBy>招标代理</cp:lastModifiedBy>
  <dcterms:modified xsi:type="dcterms:W3CDTF">2026-09-11T08:53:22Z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E9988E4381E14A3685343CA2F711235F_13</vt:lpwstr>
  </property>
  <property fmtid="{D5CDD505-2E9C-101B-9397-08002B2CF9AE}" pid="4" name="KSOTemplateDocerSaveRecord">
    <vt:lpwstr>eyJoZGlkIjoiMDlhYmYzYWY0NzI5YjEyZmE1MzQxNzM2YmJiNjA3YjIiLCJ1c2VySWQiOiIxNzc2ODc1NDc0In0=</vt:lpwstr>
  </property>
</Properties>
</file>