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4B93D">
      <w:pPr>
        <w:autoSpaceDN w:val="0"/>
        <w:snapToGrid w:val="0"/>
        <w:spacing w:beforeLines="50" w:line="360" w:lineRule="auto"/>
        <w:jc w:val="left"/>
        <w:outlineLvl w:val="1"/>
        <w:rPr>
          <w:rFonts w:hint="default" w:ascii="宋体" w:hAnsi="宋体" w:eastAsia="宋体" w:cs="宋体"/>
          <w:b/>
          <w:bCs/>
          <w:color w:val="auto"/>
          <w:sz w:val="28"/>
          <w:szCs w:val="28"/>
          <w:highlight w:val="none"/>
          <w:lang w:val="en-US" w:eastAsia="zh-CN"/>
        </w:rPr>
      </w:pPr>
      <w:bookmarkStart w:id="0" w:name="_Hlk42099020"/>
      <w:r>
        <w:rPr>
          <w:rFonts w:hint="eastAsia" w:ascii="宋体" w:hAnsi="宋体" w:eastAsia="宋体" w:cs="宋体"/>
          <w:b/>
          <w:bCs/>
          <w:color w:val="auto"/>
          <w:sz w:val="28"/>
          <w:szCs w:val="28"/>
          <w:highlight w:val="none"/>
          <w:lang w:val="en-US" w:eastAsia="zh-CN"/>
        </w:rPr>
        <w:t>附件1.《采购需求》</w:t>
      </w:r>
    </w:p>
    <w:p w14:paraId="525CE191">
      <w:pPr>
        <w:autoSpaceDN w:val="0"/>
        <w:snapToGrid w:val="0"/>
        <w:spacing w:beforeLines="50" w:line="360" w:lineRule="auto"/>
        <w:jc w:val="center"/>
        <w:outlineLvl w:val="1"/>
        <w:rPr>
          <w:rFonts w:hint="eastAsia" w:ascii="宋体" w:hAnsi="宋体" w:eastAsia="宋体" w:cs="宋体"/>
          <w:b/>
          <w:bCs/>
          <w:color w:val="auto"/>
          <w:sz w:val="28"/>
          <w:szCs w:val="28"/>
          <w:highlight w:val="none"/>
        </w:rPr>
      </w:pPr>
      <w:bookmarkStart w:id="24" w:name="_GoBack"/>
      <w:bookmarkEnd w:id="24"/>
      <w:r>
        <w:rPr>
          <w:rFonts w:hint="eastAsia" w:ascii="宋体" w:hAnsi="宋体" w:eastAsia="宋体" w:cs="宋体"/>
          <w:b/>
          <w:bCs/>
          <w:color w:val="auto"/>
          <w:sz w:val="28"/>
          <w:szCs w:val="28"/>
          <w:highlight w:val="none"/>
        </w:rPr>
        <w:t>投标人的资格要求</w:t>
      </w:r>
    </w:p>
    <w:bookmarkEnd w:id="0"/>
    <w:p w14:paraId="69F7E528">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shd w:val="clear" w:color="auto" w:fill="FFFFFF"/>
        </w:rPr>
        <w:t>1.投标人应具备《中华人民共和国政府采购法》第二十二条规定的条件，提供下列材料：</w:t>
      </w:r>
    </w:p>
    <w:p w14:paraId="09DF1F0B">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662A19EF">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2）有依法缴纳税收和社会保障资金的良好记录：投标人提供加盖其公章的《政府采购供应商资格信用承诺函》（详见招标公告附件）或提供投标截止日前12个月内任意1个月依法缴纳税收和社会保障资金的相关材料。如依法免税或不需要缴纳社会保障资金的，提供相应证明材料；</w:t>
      </w:r>
      <w:r>
        <w:rPr>
          <w:rFonts w:hint="eastAsia" w:ascii="宋体" w:hAnsi="宋体" w:eastAsia="宋体" w:cs="宋体"/>
          <w:b w:val="0"/>
          <w:bCs w:val="0"/>
          <w:color w:val="auto"/>
          <w:spacing w:val="0"/>
          <w:w w:val="100"/>
          <w:position w:val="0"/>
          <w:sz w:val="24"/>
          <w:szCs w:val="24"/>
          <w:highlight w:val="none"/>
          <w:lang w:val="en-US" w:eastAsia="zh-CN"/>
        </w:rPr>
        <w:t>若已对接“粤省事”、“粤商通”、“粤信签”等系统的，可提供书面声明函（格式自拟）；</w:t>
      </w:r>
    </w:p>
    <w:p w14:paraId="3130B8CE">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3）</w:t>
      </w:r>
      <w:r>
        <w:rPr>
          <w:rFonts w:hint="eastAsia" w:ascii="宋体" w:hAnsi="宋体" w:eastAsia="宋体" w:cs="宋体"/>
          <w:color w:val="auto"/>
          <w:sz w:val="24"/>
          <w:szCs w:val="24"/>
          <w:highlight w:val="none"/>
        </w:rPr>
        <w:t>具有良好的商业信誉和健全的财务会计制度：投标人提供加盖其公章的《政府采购供应商资格信用承诺函》（详见招标公告附件）或提供以下资料：</w:t>
      </w:r>
      <w:r>
        <w:rPr>
          <w:rFonts w:hint="eastAsia" w:ascii="宋体" w:hAnsi="宋体" w:cs="宋体"/>
          <w:color w:val="auto"/>
          <w:sz w:val="24"/>
          <w:szCs w:val="24"/>
          <w:highlight w:val="none"/>
          <w:lang w:val="en-US" w:eastAsia="zh-CN"/>
        </w:rPr>
        <w:t>2024年度</w:t>
      </w:r>
      <w:r>
        <w:rPr>
          <w:rFonts w:hint="eastAsia" w:ascii="宋体" w:hAnsi="宋体" w:eastAsia="宋体" w:cs="宋体"/>
          <w:color w:val="auto"/>
          <w:sz w:val="24"/>
          <w:szCs w:val="24"/>
          <w:highlight w:val="none"/>
        </w:rPr>
        <w:t>的财务状况报告或基本开户行出具的资信证明或财政部门认可的政府采购专业担保机构出具的担保函，成立不足一年的单位可以提供投标截止日前上一季度或月份财务会计报表；</w:t>
      </w:r>
      <w:r>
        <w:rPr>
          <w:rFonts w:hint="eastAsia" w:ascii="宋体" w:hAnsi="宋体" w:eastAsia="宋体" w:cs="宋体"/>
          <w:b w:val="0"/>
          <w:bCs w:val="0"/>
          <w:color w:val="auto"/>
          <w:spacing w:val="0"/>
          <w:w w:val="100"/>
          <w:position w:val="0"/>
          <w:sz w:val="24"/>
          <w:szCs w:val="24"/>
          <w:highlight w:val="none"/>
          <w:lang w:val="en-US" w:eastAsia="zh-CN"/>
        </w:rPr>
        <w:t>若已对接“粤省事”、“粤商通”、“粤信签”等系统的，可提供书面声明函（格式自拟）；</w:t>
      </w:r>
    </w:p>
    <w:p w14:paraId="3DBA5585">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4）履行合同所必需的设备和专业技术能力：按投标文件格式提供设备及专业技术能力情况或提供书面声明（格式自定）；</w:t>
      </w:r>
    </w:p>
    <w:p w14:paraId="3ABAE163">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5）参加采购活动前3年内，在经营活动中没有重大违法记录：参照投标函相关承诺格式内容或提供《政府采购供应商资格信用承诺函》（详见招标公告附件）并加盖投标人公章。重大违法记录，是指供应商因违法经营受到刑事处罚或者责令停产停业、吊销许可证或者执照、较大数额罚款等行政处罚。（较大数额罚款按照财库〔2022〕3号执行，认定为200万元以上的罚款，法律、行政法规以及国务院有关部门明确规定相关领域“较大数额罚款”标准高于200万元的，从其规定。）；</w:t>
      </w:r>
    </w:p>
    <w:p w14:paraId="7FC83666">
      <w:pPr>
        <w:pStyle w:val="9"/>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shd w:val="clear" w:color="auto" w:fill="FFFFFF"/>
        </w:rPr>
        <w:t>6）法律、行政法规规定的其他条件：须提供书面声明，格式自定。</w:t>
      </w:r>
    </w:p>
    <w:p w14:paraId="43B6A95C">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2.落实政府采购政策需满足的资格要求：</w:t>
      </w:r>
    </w:p>
    <w:p w14:paraId="7F6B8F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shd w:val="clear" w:color="auto" w:fill="FFFFFF"/>
        </w:rPr>
        <w:t>采购包1（</w:t>
      </w:r>
      <w:r>
        <w:rPr>
          <w:rFonts w:hint="eastAsia" w:ascii="宋体" w:hAnsi="宋体" w:eastAsia="宋体" w:cs="宋体"/>
          <w:color w:val="auto"/>
          <w:sz w:val="24"/>
          <w:szCs w:val="24"/>
          <w:highlight w:val="none"/>
          <w:lang w:eastAsia="zh-CN"/>
        </w:rPr>
        <w:t>无创呼吸机、有创呼吸机、转运呼吸机</w:t>
      </w:r>
      <w:r>
        <w:rPr>
          <w:rFonts w:hint="eastAsia" w:ascii="宋体" w:hAnsi="宋体" w:eastAsia="宋体" w:cs="宋体"/>
          <w:color w:val="auto"/>
          <w:sz w:val="24"/>
          <w:highlight w:val="none"/>
          <w:shd w:val="clear" w:color="auto" w:fill="FFFFFF"/>
        </w:rPr>
        <w:t>）：无，</w:t>
      </w:r>
      <w:r>
        <w:rPr>
          <w:rFonts w:hint="eastAsia" w:ascii="宋体" w:hAnsi="宋体" w:eastAsia="宋体" w:cs="宋体"/>
          <w:color w:val="auto"/>
          <w:sz w:val="24"/>
          <w:highlight w:val="none"/>
        </w:rPr>
        <w:t>本采购包不属于专门面向中小企业采购的项目，允许非中小微企业、监狱企业、残疾人福利性单位参与项目投标。本采购包的中小企业划分标准所属行业为：工业。</w:t>
      </w:r>
    </w:p>
    <w:p w14:paraId="7FCDD68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shd w:val="clear" w:color="auto" w:fill="FFFFFF"/>
        </w:rPr>
        <w:t>采购包</w:t>
      </w:r>
      <w:r>
        <w:rPr>
          <w:rFonts w:hint="eastAsia" w:ascii="宋体" w:hAnsi="宋体" w:eastAsia="宋体" w:cs="宋体"/>
          <w:color w:val="auto"/>
          <w:sz w:val="24"/>
          <w:highlight w:val="none"/>
          <w:shd w:val="clear" w:color="auto" w:fill="FFFFFF"/>
          <w:lang w:val="en-US" w:eastAsia="zh-CN"/>
        </w:rPr>
        <w:t>2</w:t>
      </w:r>
      <w:r>
        <w:rPr>
          <w:rFonts w:hint="eastAsia" w:ascii="宋体" w:hAnsi="宋体" w:eastAsia="宋体" w:cs="宋体"/>
          <w:color w:val="auto"/>
          <w:sz w:val="24"/>
          <w:highlight w:val="none"/>
          <w:shd w:val="clear" w:color="auto" w:fill="FFFFFF"/>
        </w:rPr>
        <w:t>（</w:t>
      </w:r>
      <w:r>
        <w:rPr>
          <w:rFonts w:hint="eastAsia" w:ascii="宋体" w:hAnsi="宋体" w:eastAsia="宋体" w:cs="宋体"/>
          <w:color w:val="auto"/>
          <w:sz w:val="24"/>
          <w:szCs w:val="24"/>
          <w:highlight w:val="none"/>
          <w:lang w:eastAsia="zh-CN"/>
        </w:rPr>
        <w:t>除颤仪、呼吸湿化治疗仪、壁式医用负压吸引器、AED除颤仪</w:t>
      </w:r>
      <w:r>
        <w:rPr>
          <w:rFonts w:hint="eastAsia" w:ascii="宋体" w:hAnsi="宋体" w:eastAsia="宋体" w:cs="宋体"/>
          <w:color w:val="auto"/>
          <w:sz w:val="24"/>
          <w:highlight w:val="none"/>
          <w:shd w:val="clear" w:color="auto" w:fill="FFFFFF"/>
        </w:rPr>
        <w:t>）：无，</w:t>
      </w:r>
      <w:r>
        <w:rPr>
          <w:rFonts w:hint="eastAsia" w:ascii="宋体" w:hAnsi="宋体" w:eastAsia="宋体" w:cs="宋体"/>
          <w:color w:val="auto"/>
          <w:sz w:val="24"/>
          <w:highlight w:val="none"/>
        </w:rPr>
        <w:t>本采购包不属于专门面向中小企业采购的项目，允许非中小微企业、监狱企业、残疾人福利性单位参与项目投标。本采购包的中小企业划分标准所属行业为：工业。</w:t>
      </w:r>
    </w:p>
    <w:p w14:paraId="7A4C7394">
      <w:pPr>
        <w:pStyle w:val="14"/>
        <w:spacing w:line="360" w:lineRule="auto"/>
        <w:rPr>
          <w:rFonts w:hint="eastAsia" w:ascii="宋体" w:hAnsi="宋体" w:eastAsia="宋体" w:cs="宋体"/>
          <w:b/>
          <w:bCs/>
          <w:color w:val="auto"/>
          <w:highlight w:val="none"/>
          <w:shd w:val="clear" w:color="auto" w:fill="FFFFFF"/>
        </w:rPr>
      </w:pPr>
      <w:r>
        <w:rPr>
          <w:rFonts w:hint="eastAsia" w:ascii="宋体" w:hAnsi="宋体" w:eastAsia="宋体" w:cs="宋体"/>
          <w:b/>
          <w:bCs/>
          <w:color w:val="auto"/>
          <w:highlight w:val="none"/>
          <w:shd w:val="clear" w:color="auto" w:fill="FFFFFF"/>
        </w:rPr>
        <w:t>3.本项目的特定资格要求：</w:t>
      </w:r>
    </w:p>
    <w:p w14:paraId="69C2638D">
      <w:pPr>
        <w:pStyle w:val="14"/>
        <w:spacing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合同包1（</w:t>
      </w:r>
      <w:r>
        <w:rPr>
          <w:rFonts w:hint="eastAsia" w:ascii="宋体" w:hAnsi="宋体" w:eastAsia="宋体" w:cs="宋体"/>
          <w:color w:val="auto"/>
          <w:sz w:val="24"/>
          <w:szCs w:val="24"/>
          <w:highlight w:val="none"/>
          <w:lang w:eastAsia="zh-CN"/>
        </w:rPr>
        <w:t>无创呼吸机、有创呼吸机、转运呼吸机</w:t>
      </w:r>
      <w:r>
        <w:rPr>
          <w:rFonts w:hint="eastAsia" w:ascii="宋体" w:hAnsi="宋体" w:eastAsia="宋体" w:cs="宋体"/>
          <w:color w:val="auto"/>
          <w:highlight w:val="none"/>
          <w:shd w:val="clear" w:color="auto" w:fill="FFFFFF"/>
        </w:rPr>
        <w:t>）:</w:t>
      </w:r>
    </w:p>
    <w:p w14:paraId="5EA7C4C8">
      <w:pPr>
        <w:pStyle w:val="1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1）供应商未被列入“信用中国”网站(www.creditchina.gov.cn)以下任何记录名单之一：①失信被执行人；②</w:t>
      </w:r>
      <w:r>
        <w:rPr>
          <w:rFonts w:hint="eastAsia" w:hAnsi="宋体" w:cs="宋体"/>
          <w:color w:val="auto"/>
          <w:szCs w:val="24"/>
          <w:highlight w:val="none"/>
          <w:lang w:val="en-US" w:eastAsia="zh-CN"/>
        </w:rPr>
        <w:t>重大</w:t>
      </w:r>
      <w:r>
        <w:rPr>
          <w:rFonts w:hint="eastAsia" w:hAnsi="宋体" w:cs="宋体"/>
          <w:color w:val="auto"/>
          <w:szCs w:val="24"/>
          <w:highlight w:val="none"/>
        </w:rPr>
        <w:t>税收违法</w:t>
      </w:r>
      <w:r>
        <w:rPr>
          <w:rFonts w:hint="eastAsia" w:hAnsi="宋体" w:cs="宋体"/>
          <w:color w:val="auto"/>
          <w:szCs w:val="24"/>
          <w:highlight w:val="none"/>
          <w:lang w:val="en-US" w:eastAsia="zh-CN"/>
        </w:rPr>
        <w:t>失信主体</w:t>
      </w:r>
      <w:r>
        <w:rPr>
          <w:rFonts w:hint="eastAsia" w:hAnsi="宋体"/>
          <w:color w:val="auto"/>
          <w:highlight w:val="none"/>
          <w:lang w:eastAsia="zh-CN"/>
        </w:rPr>
        <w:t>；</w:t>
      </w:r>
      <w:r>
        <w:rPr>
          <w:rFonts w:hint="eastAsia" w:hAnsi="宋体"/>
          <w:color w:val="auto"/>
          <w:highlight w:val="none"/>
          <w:lang w:val="en-US" w:eastAsia="zh-CN"/>
        </w:rPr>
        <w:t>③政府采购严重违法失信行为记录名单</w:t>
      </w:r>
      <w:r>
        <w:rPr>
          <w:rFonts w:hint="eastAsia" w:ascii="宋体" w:hAnsi="宋体" w:eastAsia="宋体" w:cs="宋体"/>
          <w:color w:val="auto"/>
          <w:highlight w:val="none"/>
        </w:rPr>
        <w:t>。同时，不处于中国政府采购网(www.ccgp.gov.cn)“政府采购严重违法失信行为</w:t>
      </w:r>
      <w:r>
        <w:rPr>
          <w:rFonts w:hint="eastAsia" w:ascii="宋体" w:hAnsi="宋体" w:eastAsia="宋体" w:cs="宋体"/>
          <w:color w:val="auto"/>
          <w:spacing w:val="0"/>
          <w:sz w:val="24"/>
          <w:szCs w:val="24"/>
          <w:highlight w:val="none"/>
          <w:lang w:val="en-US" w:eastAsia="zh-CN"/>
        </w:rPr>
        <w:t>记录名单</w:t>
      </w:r>
      <w:r>
        <w:rPr>
          <w:rFonts w:hint="eastAsia" w:ascii="宋体" w:hAnsi="宋体" w:eastAsia="宋体" w:cs="宋体"/>
          <w:color w:val="auto"/>
          <w:highlight w:val="none"/>
        </w:rPr>
        <w:t>”中的禁止参加政府采购活动期间。（以采购代理机构于投标（响应）截止日当天在“信用中国”网站（www.creditchina.gov.cn）及中国政府采购网（http://www.ccgp.gov.cn/）查询结果为准，如相关失信记录已失效，供应商需提供相关证明资料）。如为分支机构投标的，总公司及分公司（分支机构）均须满足本项要求。</w:t>
      </w:r>
    </w:p>
    <w:p w14:paraId="0CBD4238">
      <w:pPr>
        <w:pStyle w:val="1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单位负责人为同一人或者存在直接控股、管理关系的不同供应商，不得同时参加本采购包投标（响应）。为本采购包提供整体设计、规范编制或者项目管理、监理、检测等服务的供应商，不得再参与本采购包投标（响应）。投标（报价）函相关承诺要求内容。</w:t>
      </w:r>
    </w:p>
    <w:p w14:paraId="4AD85EC7">
      <w:pPr>
        <w:pStyle w:val="14"/>
        <w:spacing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3）投标人应具有有效的且与所投项目相适应的医疗器械生产许可或经营许可，即：</w:t>
      </w:r>
    </w:p>
    <w:p w14:paraId="56654B23">
      <w:pPr>
        <w:pStyle w:val="14"/>
        <w:spacing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如投标人为所投产品的生产企业：所投产品为第二、三类医疗器械，提供</w:t>
      </w:r>
      <w:r>
        <w:rPr>
          <w:rFonts w:hint="eastAsia" w:hAnsi="宋体"/>
          <w:color w:val="auto"/>
          <w:highlight w:val="none"/>
          <w:shd w:val="clear" w:color="auto" w:fill="FFFFFF"/>
          <w:lang w:val="en-US" w:eastAsia="zh-CN"/>
        </w:rPr>
        <w:t>药品</w:t>
      </w:r>
      <w:r>
        <w:rPr>
          <w:rFonts w:hint="eastAsia" w:ascii="宋体" w:hAnsi="宋体" w:eastAsia="宋体" w:cs="宋体"/>
          <w:color w:val="auto"/>
          <w:highlight w:val="none"/>
          <w:shd w:val="clear" w:color="auto" w:fill="FFFFFF"/>
        </w:rPr>
        <w:t>监督管理部门签发的有效的《医疗器械生产许可证》复印件（如国家另有规定，则适用其规定）。</w:t>
      </w:r>
    </w:p>
    <w:p w14:paraId="6792E4F1">
      <w:pPr>
        <w:pStyle w:val="14"/>
        <w:spacing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如投标人为经营企业：所投产品为第三类医疗器械，提供</w:t>
      </w:r>
      <w:r>
        <w:rPr>
          <w:rFonts w:hint="eastAsia" w:hAnsi="宋体"/>
          <w:color w:val="auto"/>
          <w:highlight w:val="none"/>
          <w:shd w:val="clear" w:color="auto" w:fill="FFFFFF"/>
          <w:lang w:val="en-US" w:eastAsia="zh-CN"/>
        </w:rPr>
        <w:t>药品</w:t>
      </w:r>
      <w:r>
        <w:rPr>
          <w:rFonts w:hint="eastAsia" w:ascii="宋体" w:hAnsi="宋体" w:eastAsia="宋体" w:cs="宋体"/>
          <w:color w:val="auto"/>
          <w:highlight w:val="none"/>
          <w:shd w:val="clear" w:color="auto" w:fill="FFFFFF"/>
        </w:rPr>
        <w:t>监督管理部门签发的有效的《医疗器械经营许可证》复印件（如国家另有规定，则适用其规定）。（如投标人所在地实施“一照通行”相关政策，其第三类医疗器械经营许可事项以二维码形式集中反映在营业执照上的，应提供扫描二维码后反映的有效许可事项信息截图。）</w:t>
      </w:r>
    </w:p>
    <w:p w14:paraId="32655C4E">
      <w:pPr>
        <w:pStyle w:val="1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4）采购包不接受联合体投标。</w:t>
      </w:r>
    </w:p>
    <w:p w14:paraId="1C7809E4">
      <w:pPr>
        <w:pStyle w:val="14"/>
        <w:spacing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合同包</w:t>
      </w:r>
      <w:r>
        <w:rPr>
          <w:rFonts w:hint="eastAsia" w:ascii="宋体" w:hAnsi="宋体" w:eastAsia="宋体"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rPr>
        <w:t>（</w:t>
      </w:r>
      <w:r>
        <w:rPr>
          <w:rFonts w:hint="eastAsia" w:ascii="宋体" w:hAnsi="宋体" w:eastAsia="宋体" w:cs="宋体"/>
          <w:color w:val="auto"/>
          <w:sz w:val="24"/>
          <w:szCs w:val="24"/>
          <w:highlight w:val="none"/>
          <w:lang w:eastAsia="zh-CN"/>
        </w:rPr>
        <w:t>除颤仪、呼吸湿化治疗仪、壁式医用负压吸引器、AED除颤仪</w:t>
      </w:r>
      <w:r>
        <w:rPr>
          <w:rFonts w:hint="eastAsia" w:ascii="宋体" w:hAnsi="宋体" w:eastAsia="宋体" w:cs="宋体"/>
          <w:color w:val="auto"/>
          <w:highlight w:val="none"/>
          <w:shd w:val="clear" w:color="auto" w:fill="FFFFFF"/>
        </w:rPr>
        <w:t>）:</w:t>
      </w:r>
    </w:p>
    <w:p w14:paraId="3FA01146">
      <w:pPr>
        <w:pStyle w:val="1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1）供应商未被列入“信用中国”网站(www.creditchina.gov.cn)以下任何记录名单之一：①失信被执行人；②</w:t>
      </w:r>
      <w:r>
        <w:rPr>
          <w:rFonts w:hint="eastAsia" w:hAnsi="宋体" w:cs="宋体"/>
          <w:color w:val="auto"/>
          <w:szCs w:val="24"/>
          <w:highlight w:val="none"/>
          <w:lang w:val="en-US" w:eastAsia="zh-CN"/>
        </w:rPr>
        <w:t>重大</w:t>
      </w:r>
      <w:r>
        <w:rPr>
          <w:rFonts w:hint="eastAsia" w:hAnsi="宋体" w:cs="宋体"/>
          <w:color w:val="auto"/>
          <w:szCs w:val="24"/>
          <w:highlight w:val="none"/>
        </w:rPr>
        <w:t>税收违法</w:t>
      </w:r>
      <w:r>
        <w:rPr>
          <w:rFonts w:hint="eastAsia" w:hAnsi="宋体" w:cs="宋体"/>
          <w:color w:val="auto"/>
          <w:szCs w:val="24"/>
          <w:highlight w:val="none"/>
          <w:lang w:val="en-US" w:eastAsia="zh-CN"/>
        </w:rPr>
        <w:t>失信主体</w:t>
      </w:r>
      <w:r>
        <w:rPr>
          <w:rFonts w:hint="eastAsia" w:hAnsi="宋体"/>
          <w:color w:val="auto"/>
          <w:highlight w:val="none"/>
          <w:lang w:eastAsia="zh-CN"/>
        </w:rPr>
        <w:t>；</w:t>
      </w:r>
      <w:r>
        <w:rPr>
          <w:rFonts w:hint="eastAsia" w:hAnsi="宋体"/>
          <w:color w:val="auto"/>
          <w:highlight w:val="none"/>
          <w:lang w:val="en-US" w:eastAsia="zh-CN"/>
        </w:rPr>
        <w:t>③政府采购严重违法失信行为记录名单</w:t>
      </w:r>
      <w:r>
        <w:rPr>
          <w:rFonts w:hint="eastAsia" w:ascii="宋体" w:hAnsi="宋体" w:eastAsia="宋体" w:cs="宋体"/>
          <w:color w:val="auto"/>
          <w:highlight w:val="none"/>
        </w:rPr>
        <w:t>。同时，不处于中国政府采购网(www.ccgp.gov.cn)“政府采购严重违法失信行为</w:t>
      </w:r>
      <w:r>
        <w:rPr>
          <w:rFonts w:hint="eastAsia" w:ascii="宋体" w:hAnsi="宋体" w:eastAsia="宋体" w:cs="宋体"/>
          <w:color w:val="auto"/>
          <w:spacing w:val="0"/>
          <w:sz w:val="24"/>
          <w:szCs w:val="24"/>
          <w:highlight w:val="none"/>
          <w:lang w:val="en-US" w:eastAsia="zh-CN"/>
        </w:rPr>
        <w:t>记录名单</w:t>
      </w:r>
      <w:r>
        <w:rPr>
          <w:rFonts w:hint="eastAsia" w:ascii="宋体" w:hAnsi="宋体" w:eastAsia="宋体" w:cs="宋体"/>
          <w:color w:val="auto"/>
          <w:highlight w:val="none"/>
        </w:rPr>
        <w:t>”中的禁止参加政府采购活动期间。（以采购代理机构于投标（响应）截止日当天在“信用中国”网站（www.creditchina.gov.cn）及中国政府采购网（http://www.ccgp.gov.cn/）查询结果为准，如相关失信记录已失效，供应商需提供相关证明资料）。如为分支机构投标的，总公司及分公司（分支机构）均须满足本项要求。</w:t>
      </w:r>
    </w:p>
    <w:p w14:paraId="6E1C0F77">
      <w:pPr>
        <w:pStyle w:val="1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单位负责人为同一人或者存在直接控股、管理关系的不同供应商，不得同时参加本采购包投标（响应）。为本采购包提供整体设计、规范编制或者项目管理、监理、检测等服务的供应商，不得再参与本采购包投标（响应）。投标（报价）函相关承诺要求内容。</w:t>
      </w:r>
    </w:p>
    <w:p w14:paraId="69B76E9A">
      <w:pPr>
        <w:pStyle w:val="14"/>
        <w:spacing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rPr>
        <w:t>投标人应具有有效的且与所投项目相适应的医疗器械生产许可或经营许可，即：</w:t>
      </w:r>
    </w:p>
    <w:p w14:paraId="6316007D">
      <w:pPr>
        <w:pStyle w:val="14"/>
        <w:spacing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如投标人为所投产品的生产企业：所投产品为第二、三类医疗器械，提供</w:t>
      </w:r>
      <w:r>
        <w:rPr>
          <w:rFonts w:hint="eastAsia" w:hAnsi="宋体"/>
          <w:color w:val="auto"/>
          <w:highlight w:val="none"/>
          <w:shd w:val="clear" w:color="auto" w:fill="FFFFFF"/>
          <w:lang w:val="en-US" w:eastAsia="zh-CN"/>
        </w:rPr>
        <w:t>药品</w:t>
      </w:r>
      <w:r>
        <w:rPr>
          <w:rFonts w:hint="eastAsia" w:ascii="宋体" w:hAnsi="宋体" w:eastAsia="宋体" w:cs="宋体"/>
          <w:color w:val="auto"/>
          <w:highlight w:val="none"/>
          <w:shd w:val="clear" w:color="auto" w:fill="FFFFFF"/>
        </w:rPr>
        <w:t>监督管理部门签发的有效的《医疗器械生产许可证》复印件（如国家另有规定，则适用其规定）。</w:t>
      </w:r>
    </w:p>
    <w:p w14:paraId="55B9C2C7">
      <w:pPr>
        <w:pStyle w:val="14"/>
        <w:spacing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如投标人为经营企业：所投产品为第三类医疗器械，提供</w:t>
      </w:r>
      <w:r>
        <w:rPr>
          <w:rFonts w:hint="eastAsia" w:hAnsi="宋体"/>
          <w:color w:val="auto"/>
          <w:highlight w:val="none"/>
          <w:shd w:val="clear" w:color="auto" w:fill="FFFFFF"/>
          <w:lang w:val="en-US" w:eastAsia="zh-CN"/>
        </w:rPr>
        <w:t>药品</w:t>
      </w:r>
      <w:r>
        <w:rPr>
          <w:rFonts w:hint="eastAsia" w:ascii="宋体" w:hAnsi="宋体" w:eastAsia="宋体" w:cs="宋体"/>
          <w:color w:val="auto"/>
          <w:highlight w:val="none"/>
          <w:shd w:val="clear" w:color="auto" w:fill="FFFFFF"/>
        </w:rPr>
        <w:t>监督管理部门签发的有效的《医疗器械经营许可证》复印件（如国家另有规定，则适用其规定）。（如投标人所在地实施“一照通行”相关政策，其第三类医疗器械经营许可事项以二维码形式集中反映在营业执照上的，应提供扫描二维码后反映的有效许可事项信息截图。）</w:t>
      </w:r>
    </w:p>
    <w:p w14:paraId="3176A8C6">
      <w:pPr>
        <w:pStyle w:val="1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4）采购包不接受联合体投标。</w:t>
      </w:r>
    </w:p>
    <w:p w14:paraId="7EA737E5">
      <w:pPr>
        <w:spacing w:beforeLines="50"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一、项目概况：</w:t>
      </w:r>
    </w:p>
    <w:p w14:paraId="32157F42">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（一）简要采购内容：</w:t>
      </w:r>
    </w:p>
    <w:tbl>
      <w:tblPr>
        <w:tblStyle w:val="11"/>
        <w:tblW w:w="7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045"/>
        <w:gridCol w:w="2835"/>
        <w:gridCol w:w="1000"/>
        <w:gridCol w:w="850"/>
        <w:gridCol w:w="2028"/>
      </w:tblGrid>
      <w:tr w14:paraId="5C47B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66" w:hRule="atLeast"/>
          <w:jc w:val="center"/>
        </w:trPr>
        <w:tc>
          <w:tcPr>
            <w:tcW w:w="1045" w:type="dxa"/>
            <w:shd w:val="clear" w:color="auto" w:fill="EEECE1"/>
            <w:noWrap w:val="0"/>
            <w:tcMar>
              <w:top w:w="15" w:type="dxa"/>
              <w:left w:w="15" w:type="dxa"/>
              <w:right w:w="15" w:type="dxa"/>
            </w:tcMar>
            <w:vAlign w:val="center"/>
          </w:tcPr>
          <w:p w14:paraId="2561FAB5">
            <w:pPr>
              <w:widowControl/>
              <w:jc w:val="center"/>
              <w:textAlignment w:val="center"/>
              <w:rPr>
                <w:rFonts w:hint="eastAsia" w:ascii="宋体" w:hAnsi="宋体" w:eastAsia="宋体" w:cs="宋体"/>
                <w:b/>
                <w:bCs/>
                <w:color w:val="auto"/>
                <w:szCs w:val="21"/>
                <w:highlight w:val="none"/>
              </w:rPr>
            </w:pPr>
            <w:r>
              <w:rPr>
                <w:rStyle w:val="18"/>
                <w:rFonts w:hint="eastAsia" w:ascii="宋体" w:hAnsi="宋体" w:cs="宋体"/>
                <w:b/>
                <w:bCs/>
                <w:color w:val="auto"/>
                <w:sz w:val="21"/>
                <w:szCs w:val="21"/>
                <w:highlight w:val="none"/>
                <w:lang w:val="en-US" w:eastAsia="zh-CN"/>
              </w:rPr>
              <w:t>采购包</w:t>
            </w:r>
            <w:r>
              <w:rPr>
                <w:rStyle w:val="18"/>
                <w:rFonts w:hint="eastAsia" w:ascii="宋体" w:hAnsi="宋体" w:eastAsia="宋体" w:cs="宋体"/>
                <w:b/>
                <w:bCs/>
                <w:color w:val="auto"/>
                <w:sz w:val="21"/>
                <w:szCs w:val="21"/>
                <w:highlight w:val="none"/>
              </w:rPr>
              <w:t>号</w:t>
            </w:r>
          </w:p>
        </w:tc>
        <w:tc>
          <w:tcPr>
            <w:tcW w:w="2835" w:type="dxa"/>
            <w:shd w:val="clear" w:color="auto" w:fill="EEECE1"/>
            <w:noWrap w:val="0"/>
            <w:tcMar>
              <w:top w:w="15" w:type="dxa"/>
              <w:left w:w="15" w:type="dxa"/>
              <w:right w:w="15" w:type="dxa"/>
            </w:tcMar>
            <w:vAlign w:val="center"/>
          </w:tcPr>
          <w:p w14:paraId="3508018D">
            <w:pPr>
              <w:widowControl/>
              <w:jc w:val="center"/>
              <w:textAlignment w:val="center"/>
              <w:rPr>
                <w:rFonts w:hint="eastAsia" w:ascii="宋体" w:hAnsi="宋体" w:eastAsia="宋体" w:cs="宋体"/>
                <w:b/>
                <w:bCs/>
                <w:color w:val="auto"/>
                <w:szCs w:val="21"/>
                <w:highlight w:val="none"/>
              </w:rPr>
            </w:pPr>
            <w:r>
              <w:rPr>
                <w:rStyle w:val="18"/>
                <w:rFonts w:hint="eastAsia" w:ascii="宋体" w:hAnsi="宋体" w:eastAsia="宋体" w:cs="宋体"/>
                <w:b/>
                <w:bCs/>
                <w:color w:val="auto"/>
                <w:sz w:val="21"/>
                <w:szCs w:val="21"/>
                <w:highlight w:val="none"/>
              </w:rPr>
              <w:t>标的名称</w:t>
            </w:r>
          </w:p>
        </w:tc>
        <w:tc>
          <w:tcPr>
            <w:tcW w:w="1000" w:type="dxa"/>
            <w:shd w:val="clear" w:color="auto" w:fill="EEECE1"/>
            <w:noWrap w:val="0"/>
            <w:tcMar>
              <w:top w:w="15" w:type="dxa"/>
              <w:left w:w="15" w:type="dxa"/>
              <w:right w:w="15" w:type="dxa"/>
            </w:tcMar>
            <w:vAlign w:val="center"/>
          </w:tcPr>
          <w:p w14:paraId="06151747">
            <w:pPr>
              <w:widowControl/>
              <w:jc w:val="center"/>
              <w:textAlignment w:val="center"/>
              <w:rPr>
                <w:rStyle w:val="18"/>
                <w:rFonts w:hint="eastAsia" w:ascii="宋体" w:hAnsi="宋体" w:eastAsia="宋体" w:cs="宋体"/>
                <w:b/>
                <w:bCs/>
                <w:color w:val="auto"/>
                <w:sz w:val="21"/>
                <w:szCs w:val="21"/>
                <w:highlight w:val="none"/>
              </w:rPr>
            </w:pPr>
            <w:r>
              <w:rPr>
                <w:rStyle w:val="18"/>
                <w:rFonts w:hint="eastAsia" w:ascii="宋体" w:hAnsi="宋体" w:eastAsia="宋体" w:cs="宋体"/>
                <w:b/>
                <w:bCs/>
                <w:color w:val="auto"/>
                <w:sz w:val="21"/>
                <w:szCs w:val="21"/>
                <w:highlight w:val="none"/>
              </w:rPr>
              <w:t>计量</w:t>
            </w:r>
          </w:p>
          <w:p w14:paraId="6D6A63E8">
            <w:pPr>
              <w:widowControl/>
              <w:jc w:val="center"/>
              <w:textAlignment w:val="center"/>
              <w:rPr>
                <w:rFonts w:hint="eastAsia" w:ascii="宋体" w:hAnsi="宋体" w:eastAsia="宋体" w:cs="宋体"/>
                <w:b/>
                <w:bCs/>
                <w:color w:val="auto"/>
                <w:szCs w:val="21"/>
                <w:highlight w:val="none"/>
              </w:rPr>
            </w:pPr>
            <w:r>
              <w:rPr>
                <w:rStyle w:val="18"/>
                <w:rFonts w:hint="eastAsia" w:ascii="宋体" w:hAnsi="宋体" w:eastAsia="宋体" w:cs="宋体"/>
                <w:b/>
                <w:bCs/>
                <w:color w:val="auto"/>
                <w:sz w:val="21"/>
                <w:szCs w:val="21"/>
                <w:highlight w:val="none"/>
              </w:rPr>
              <w:t>单位</w:t>
            </w:r>
          </w:p>
        </w:tc>
        <w:tc>
          <w:tcPr>
            <w:tcW w:w="850" w:type="dxa"/>
            <w:shd w:val="clear" w:color="auto" w:fill="EEECE1"/>
            <w:noWrap w:val="0"/>
            <w:tcMar>
              <w:top w:w="15" w:type="dxa"/>
              <w:left w:w="15" w:type="dxa"/>
              <w:right w:w="15" w:type="dxa"/>
            </w:tcMar>
            <w:vAlign w:val="center"/>
          </w:tcPr>
          <w:p w14:paraId="3E998EC0">
            <w:pPr>
              <w:widowControl/>
              <w:jc w:val="center"/>
              <w:textAlignment w:val="center"/>
              <w:rPr>
                <w:rFonts w:hint="eastAsia" w:ascii="宋体" w:hAnsi="宋体" w:eastAsia="宋体" w:cs="宋体"/>
                <w:b/>
                <w:bCs/>
                <w:color w:val="auto"/>
                <w:szCs w:val="21"/>
                <w:highlight w:val="none"/>
              </w:rPr>
            </w:pPr>
            <w:r>
              <w:rPr>
                <w:rStyle w:val="18"/>
                <w:rFonts w:hint="eastAsia" w:ascii="宋体" w:hAnsi="宋体" w:eastAsia="宋体" w:cs="宋体"/>
                <w:b/>
                <w:bCs/>
                <w:color w:val="auto"/>
                <w:sz w:val="21"/>
                <w:szCs w:val="21"/>
                <w:highlight w:val="none"/>
              </w:rPr>
              <w:t>数量</w:t>
            </w:r>
          </w:p>
        </w:tc>
        <w:tc>
          <w:tcPr>
            <w:tcW w:w="2028" w:type="dxa"/>
            <w:shd w:val="clear" w:color="auto" w:fill="EEECE1"/>
            <w:noWrap w:val="0"/>
            <w:tcMar>
              <w:top w:w="15" w:type="dxa"/>
              <w:left w:w="15" w:type="dxa"/>
              <w:right w:w="15" w:type="dxa"/>
            </w:tcMar>
            <w:vAlign w:val="center"/>
          </w:tcPr>
          <w:p w14:paraId="3C0A7115">
            <w:pPr>
              <w:widowControl/>
              <w:jc w:val="center"/>
              <w:textAlignment w:val="center"/>
              <w:rPr>
                <w:rStyle w:val="18"/>
                <w:rFonts w:hint="eastAsia" w:ascii="宋体" w:hAnsi="宋体" w:eastAsia="宋体" w:cs="宋体"/>
                <w:b/>
                <w:bCs/>
                <w:color w:val="auto"/>
                <w:sz w:val="21"/>
                <w:szCs w:val="21"/>
                <w:highlight w:val="none"/>
              </w:rPr>
            </w:pPr>
            <w:r>
              <w:rPr>
                <w:rFonts w:hint="eastAsia" w:ascii="宋体" w:hAnsi="宋体" w:eastAsia="宋体" w:cs="宋体"/>
                <w:b/>
                <w:bCs/>
                <w:color w:val="auto"/>
                <w:kern w:val="0"/>
                <w:szCs w:val="21"/>
                <w:highlight w:val="none"/>
              </w:rPr>
              <w:t>预算金额(元)</w:t>
            </w:r>
          </w:p>
        </w:tc>
      </w:tr>
      <w:tr w14:paraId="352D9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43" w:hRule="atLeast"/>
          <w:jc w:val="center"/>
        </w:trPr>
        <w:tc>
          <w:tcPr>
            <w:tcW w:w="1045" w:type="dxa"/>
            <w:vMerge w:val="restart"/>
            <w:shd w:val="clear" w:color="auto" w:fill="FFFFFF"/>
            <w:noWrap w:val="0"/>
            <w:tcMar>
              <w:top w:w="15" w:type="dxa"/>
              <w:left w:w="15" w:type="dxa"/>
              <w:right w:w="15" w:type="dxa"/>
            </w:tcMar>
            <w:vAlign w:val="center"/>
          </w:tcPr>
          <w:p w14:paraId="5C2DDDF8">
            <w:pPr>
              <w:widowControl/>
              <w:jc w:val="center"/>
              <w:textAlignment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w:t>
            </w:r>
          </w:p>
        </w:tc>
        <w:tc>
          <w:tcPr>
            <w:tcW w:w="2835" w:type="dxa"/>
            <w:shd w:val="clear" w:color="auto" w:fill="FFFFFF"/>
            <w:noWrap w:val="0"/>
            <w:tcMar>
              <w:top w:w="15" w:type="dxa"/>
              <w:left w:w="15" w:type="dxa"/>
              <w:right w:w="15" w:type="dxa"/>
            </w:tcMar>
            <w:vAlign w:val="center"/>
          </w:tcPr>
          <w:p w14:paraId="2B75F55A">
            <w:pPr>
              <w:widowControl/>
              <w:spacing w:line="360" w:lineRule="auto"/>
              <w:ind w:right="-29" w:rightChars="-14"/>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无创呼吸机</w:t>
            </w:r>
          </w:p>
        </w:tc>
        <w:tc>
          <w:tcPr>
            <w:tcW w:w="1000" w:type="dxa"/>
            <w:shd w:val="clear" w:color="auto" w:fill="FFFFFF"/>
            <w:noWrap w:val="0"/>
            <w:tcMar>
              <w:top w:w="15" w:type="dxa"/>
              <w:left w:w="15" w:type="dxa"/>
              <w:right w:w="15" w:type="dxa"/>
            </w:tcMar>
            <w:vAlign w:val="center"/>
          </w:tcPr>
          <w:p w14:paraId="1D55A00F">
            <w:pPr>
              <w:widowControl/>
              <w:spacing w:line="360" w:lineRule="auto"/>
              <w:ind w:right="-29" w:rightChars="-14"/>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套</w:t>
            </w:r>
          </w:p>
        </w:tc>
        <w:tc>
          <w:tcPr>
            <w:tcW w:w="850" w:type="dxa"/>
            <w:shd w:val="clear" w:color="auto" w:fill="FFFFFF"/>
            <w:noWrap w:val="0"/>
            <w:tcMar>
              <w:top w:w="15" w:type="dxa"/>
              <w:left w:w="15" w:type="dxa"/>
              <w:right w:w="15" w:type="dxa"/>
            </w:tcMar>
            <w:vAlign w:val="center"/>
          </w:tcPr>
          <w:p w14:paraId="66ED9049">
            <w:pPr>
              <w:widowControl/>
              <w:spacing w:line="360" w:lineRule="auto"/>
              <w:ind w:right="-29" w:rightChars="-14"/>
              <w:jc w:val="center"/>
              <w:rPr>
                <w:rFonts w:hint="default" w:ascii="宋体" w:hAnsi="宋体" w:eastAsia="宋体" w:cs="宋体"/>
                <w:color w:val="auto"/>
                <w:kern w:val="0"/>
                <w:szCs w:val="21"/>
                <w:highlight w:val="none"/>
                <w:lang w:val="en-US"/>
              </w:rPr>
            </w:pPr>
            <w:r>
              <w:rPr>
                <w:rFonts w:hint="eastAsia" w:ascii="宋体" w:hAnsi="宋体" w:cs="宋体"/>
                <w:color w:val="auto"/>
                <w:szCs w:val="21"/>
                <w:highlight w:val="none"/>
                <w:lang w:val="en-US" w:eastAsia="zh-CN"/>
              </w:rPr>
              <w:t>3</w:t>
            </w:r>
          </w:p>
        </w:tc>
        <w:tc>
          <w:tcPr>
            <w:tcW w:w="2028" w:type="dxa"/>
            <w:shd w:val="clear" w:color="auto" w:fill="FFFFFF"/>
            <w:noWrap w:val="0"/>
            <w:tcMar>
              <w:top w:w="15" w:type="dxa"/>
              <w:left w:w="15" w:type="dxa"/>
              <w:right w:w="15" w:type="dxa"/>
            </w:tcMar>
            <w:vAlign w:val="center"/>
          </w:tcPr>
          <w:p w14:paraId="379B5F69">
            <w:pPr>
              <w:widowControl/>
              <w:spacing w:line="360" w:lineRule="auto"/>
              <w:ind w:right="-29" w:rightChars="-1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450,000.00</w:t>
            </w:r>
          </w:p>
        </w:tc>
      </w:tr>
      <w:tr w14:paraId="38969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43" w:hRule="atLeast"/>
          <w:jc w:val="center"/>
        </w:trPr>
        <w:tc>
          <w:tcPr>
            <w:tcW w:w="1045" w:type="dxa"/>
            <w:vMerge w:val="continue"/>
            <w:shd w:val="clear" w:color="auto" w:fill="FFFFFF"/>
            <w:noWrap w:val="0"/>
            <w:tcMar>
              <w:top w:w="15" w:type="dxa"/>
              <w:left w:w="15" w:type="dxa"/>
              <w:right w:w="15" w:type="dxa"/>
            </w:tcMar>
            <w:vAlign w:val="center"/>
          </w:tcPr>
          <w:p w14:paraId="235D5AE5">
            <w:pPr>
              <w:widowControl/>
              <w:jc w:val="center"/>
              <w:textAlignment w:val="center"/>
              <w:rPr>
                <w:rFonts w:hint="eastAsia" w:ascii="宋体" w:hAnsi="宋体" w:eastAsia="宋体" w:cs="宋体"/>
                <w:color w:val="auto"/>
                <w:kern w:val="0"/>
                <w:szCs w:val="21"/>
                <w:highlight w:val="none"/>
                <w:lang w:val="en-US" w:eastAsia="zh-CN"/>
              </w:rPr>
            </w:pPr>
          </w:p>
        </w:tc>
        <w:tc>
          <w:tcPr>
            <w:tcW w:w="2835" w:type="dxa"/>
            <w:shd w:val="clear" w:color="auto" w:fill="FFFFFF"/>
            <w:noWrap w:val="0"/>
            <w:tcMar>
              <w:top w:w="15" w:type="dxa"/>
              <w:left w:w="15" w:type="dxa"/>
              <w:right w:w="15" w:type="dxa"/>
            </w:tcMar>
            <w:vAlign w:val="center"/>
          </w:tcPr>
          <w:p w14:paraId="0F31AC71">
            <w:pPr>
              <w:widowControl/>
              <w:spacing w:line="360" w:lineRule="auto"/>
              <w:ind w:right="-29" w:rightChars="-14"/>
              <w:jc w:val="center"/>
              <w:rPr>
                <w:rFonts w:hint="eastAsia" w:ascii="宋体" w:hAnsi="宋体" w:cs="宋体"/>
                <w:color w:val="auto"/>
                <w:szCs w:val="21"/>
                <w:highlight w:val="none"/>
                <w:lang w:eastAsia="zh-CN"/>
              </w:rPr>
            </w:pPr>
            <w:r>
              <w:rPr>
                <w:rFonts w:hint="eastAsia" w:ascii="宋体" w:hAnsi="宋体" w:eastAsia="宋体" w:cs="宋体"/>
                <w:color w:val="auto"/>
                <w:szCs w:val="21"/>
                <w:highlight w:val="none"/>
                <w:lang w:eastAsia="zh-CN"/>
              </w:rPr>
              <w:t>有创呼吸机</w:t>
            </w:r>
          </w:p>
        </w:tc>
        <w:tc>
          <w:tcPr>
            <w:tcW w:w="1000" w:type="dxa"/>
            <w:shd w:val="clear" w:color="auto" w:fill="FFFFFF"/>
            <w:noWrap w:val="0"/>
            <w:tcMar>
              <w:top w:w="15" w:type="dxa"/>
              <w:left w:w="15" w:type="dxa"/>
              <w:right w:w="15" w:type="dxa"/>
            </w:tcMar>
            <w:vAlign w:val="center"/>
          </w:tcPr>
          <w:p w14:paraId="156A125B">
            <w:pPr>
              <w:widowControl/>
              <w:spacing w:line="360" w:lineRule="auto"/>
              <w:ind w:right="-29" w:rightChars="-14"/>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套</w:t>
            </w:r>
          </w:p>
        </w:tc>
        <w:tc>
          <w:tcPr>
            <w:tcW w:w="850" w:type="dxa"/>
            <w:shd w:val="clear" w:color="auto" w:fill="FFFFFF"/>
            <w:noWrap w:val="0"/>
            <w:tcMar>
              <w:top w:w="15" w:type="dxa"/>
              <w:left w:w="15" w:type="dxa"/>
              <w:right w:w="15" w:type="dxa"/>
            </w:tcMar>
            <w:vAlign w:val="center"/>
          </w:tcPr>
          <w:p w14:paraId="16425BB8">
            <w:pPr>
              <w:widowControl/>
              <w:spacing w:line="360" w:lineRule="auto"/>
              <w:ind w:right="-29" w:rightChars="-14"/>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w:t>
            </w:r>
          </w:p>
        </w:tc>
        <w:tc>
          <w:tcPr>
            <w:tcW w:w="2028" w:type="dxa"/>
            <w:shd w:val="clear" w:color="auto" w:fill="FFFFFF"/>
            <w:noWrap w:val="0"/>
            <w:tcMar>
              <w:top w:w="15" w:type="dxa"/>
              <w:left w:w="15" w:type="dxa"/>
              <w:right w:w="15" w:type="dxa"/>
            </w:tcMar>
            <w:vAlign w:val="center"/>
          </w:tcPr>
          <w:p w14:paraId="63657A3F">
            <w:pPr>
              <w:widowControl/>
              <w:spacing w:line="360" w:lineRule="auto"/>
              <w:ind w:right="-29" w:rightChars="-1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8,000,000.00</w:t>
            </w:r>
          </w:p>
        </w:tc>
      </w:tr>
      <w:tr w14:paraId="4B6B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43" w:hRule="atLeast"/>
          <w:jc w:val="center"/>
        </w:trPr>
        <w:tc>
          <w:tcPr>
            <w:tcW w:w="1045" w:type="dxa"/>
            <w:vMerge w:val="continue"/>
            <w:shd w:val="clear" w:color="auto" w:fill="FFFFFF"/>
            <w:noWrap w:val="0"/>
            <w:tcMar>
              <w:top w:w="15" w:type="dxa"/>
              <w:left w:w="15" w:type="dxa"/>
              <w:right w:w="15" w:type="dxa"/>
            </w:tcMar>
            <w:vAlign w:val="center"/>
          </w:tcPr>
          <w:p w14:paraId="097473CB">
            <w:pPr>
              <w:widowControl/>
              <w:jc w:val="center"/>
              <w:textAlignment w:val="center"/>
              <w:rPr>
                <w:rFonts w:hint="eastAsia" w:ascii="宋体" w:hAnsi="宋体" w:cs="宋体"/>
                <w:color w:val="auto"/>
                <w:kern w:val="0"/>
                <w:szCs w:val="21"/>
                <w:highlight w:val="none"/>
                <w:lang w:val="en-US" w:eastAsia="zh-CN"/>
              </w:rPr>
            </w:pPr>
          </w:p>
        </w:tc>
        <w:tc>
          <w:tcPr>
            <w:tcW w:w="2835" w:type="dxa"/>
            <w:shd w:val="clear" w:color="auto" w:fill="FFFFFF"/>
            <w:noWrap w:val="0"/>
            <w:tcMar>
              <w:top w:w="15" w:type="dxa"/>
              <w:left w:w="15" w:type="dxa"/>
              <w:right w:w="15" w:type="dxa"/>
            </w:tcMar>
            <w:vAlign w:val="center"/>
          </w:tcPr>
          <w:p w14:paraId="0FEB9A49">
            <w:pPr>
              <w:widowControl/>
              <w:spacing w:line="360" w:lineRule="auto"/>
              <w:ind w:right="-29" w:rightChars="-14"/>
              <w:jc w:val="center"/>
              <w:rPr>
                <w:rFonts w:hint="eastAsia" w:ascii="宋体" w:hAnsi="宋体" w:cs="宋体"/>
                <w:color w:val="auto"/>
                <w:szCs w:val="21"/>
                <w:highlight w:val="none"/>
                <w:lang w:eastAsia="zh-CN"/>
              </w:rPr>
            </w:pPr>
            <w:r>
              <w:rPr>
                <w:rFonts w:hint="eastAsia" w:ascii="宋体" w:hAnsi="宋体" w:eastAsia="宋体" w:cs="宋体"/>
                <w:color w:val="auto"/>
                <w:szCs w:val="21"/>
                <w:highlight w:val="none"/>
                <w:lang w:eastAsia="zh-CN"/>
              </w:rPr>
              <w:t>转运呼吸机</w:t>
            </w:r>
          </w:p>
        </w:tc>
        <w:tc>
          <w:tcPr>
            <w:tcW w:w="1000" w:type="dxa"/>
            <w:shd w:val="clear" w:color="auto" w:fill="FFFFFF"/>
            <w:noWrap w:val="0"/>
            <w:tcMar>
              <w:top w:w="15" w:type="dxa"/>
              <w:left w:w="15" w:type="dxa"/>
              <w:right w:w="15" w:type="dxa"/>
            </w:tcMar>
            <w:vAlign w:val="center"/>
          </w:tcPr>
          <w:p w14:paraId="1CCE2DE2">
            <w:pPr>
              <w:widowControl/>
              <w:spacing w:line="360" w:lineRule="auto"/>
              <w:ind w:right="-29" w:rightChars="-14"/>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套</w:t>
            </w:r>
          </w:p>
        </w:tc>
        <w:tc>
          <w:tcPr>
            <w:tcW w:w="850" w:type="dxa"/>
            <w:shd w:val="clear" w:color="auto" w:fill="FFFFFF"/>
            <w:noWrap w:val="0"/>
            <w:tcMar>
              <w:top w:w="15" w:type="dxa"/>
              <w:left w:w="15" w:type="dxa"/>
              <w:right w:w="15" w:type="dxa"/>
            </w:tcMar>
            <w:vAlign w:val="center"/>
          </w:tcPr>
          <w:p w14:paraId="0A118457">
            <w:pPr>
              <w:widowControl/>
              <w:spacing w:line="360" w:lineRule="auto"/>
              <w:ind w:right="-29" w:rightChars="-14"/>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2028" w:type="dxa"/>
            <w:shd w:val="clear" w:color="auto" w:fill="FFFFFF"/>
            <w:noWrap w:val="0"/>
            <w:tcMar>
              <w:top w:w="15" w:type="dxa"/>
              <w:left w:w="15" w:type="dxa"/>
              <w:right w:w="15" w:type="dxa"/>
            </w:tcMar>
            <w:vAlign w:val="center"/>
          </w:tcPr>
          <w:p w14:paraId="55564B6B">
            <w:pPr>
              <w:widowControl/>
              <w:spacing w:line="360" w:lineRule="auto"/>
              <w:ind w:right="-29" w:rightChars="-1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1,250,000.00</w:t>
            </w:r>
          </w:p>
        </w:tc>
      </w:tr>
      <w:tr w14:paraId="551F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43" w:hRule="atLeast"/>
          <w:jc w:val="center"/>
        </w:trPr>
        <w:tc>
          <w:tcPr>
            <w:tcW w:w="1045" w:type="dxa"/>
            <w:vMerge w:val="restart"/>
            <w:shd w:val="clear" w:color="auto" w:fill="FFFFFF"/>
            <w:noWrap w:val="0"/>
            <w:tcMar>
              <w:top w:w="15" w:type="dxa"/>
              <w:left w:w="15" w:type="dxa"/>
              <w:right w:w="15" w:type="dxa"/>
            </w:tcMar>
            <w:vAlign w:val="center"/>
          </w:tcPr>
          <w:p w14:paraId="1A95941E">
            <w:pPr>
              <w:widowControl/>
              <w:jc w:val="center"/>
              <w:textAlignment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2835" w:type="dxa"/>
            <w:shd w:val="clear" w:color="auto" w:fill="FFFFFF"/>
            <w:noWrap w:val="0"/>
            <w:tcMar>
              <w:top w:w="15" w:type="dxa"/>
              <w:left w:w="15" w:type="dxa"/>
              <w:right w:w="15" w:type="dxa"/>
            </w:tcMar>
            <w:vAlign w:val="center"/>
          </w:tcPr>
          <w:p w14:paraId="7E9C3D5D">
            <w:pPr>
              <w:widowControl/>
              <w:spacing w:line="360" w:lineRule="auto"/>
              <w:ind w:right="-29" w:rightChars="-14"/>
              <w:jc w:val="center"/>
              <w:rPr>
                <w:rFonts w:hint="eastAsia" w:ascii="宋体" w:hAnsi="宋体" w:cs="宋体"/>
                <w:color w:val="auto"/>
                <w:szCs w:val="21"/>
                <w:highlight w:val="none"/>
                <w:lang w:eastAsia="zh-CN"/>
              </w:rPr>
            </w:pPr>
            <w:r>
              <w:rPr>
                <w:rFonts w:hint="eastAsia" w:ascii="宋体" w:hAnsi="宋体" w:eastAsia="宋体" w:cs="宋体"/>
                <w:color w:val="auto"/>
                <w:szCs w:val="21"/>
                <w:highlight w:val="none"/>
                <w:lang w:eastAsia="zh-CN"/>
              </w:rPr>
              <w:t>除颤仪</w:t>
            </w:r>
          </w:p>
        </w:tc>
        <w:tc>
          <w:tcPr>
            <w:tcW w:w="1000" w:type="dxa"/>
            <w:shd w:val="clear" w:color="auto" w:fill="FFFFFF"/>
            <w:noWrap w:val="0"/>
            <w:tcMar>
              <w:top w:w="15" w:type="dxa"/>
              <w:left w:w="15" w:type="dxa"/>
              <w:right w:w="15" w:type="dxa"/>
            </w:tcMar>
            <w:vAlign w:val="center"/>
          </w:tcPr>
          <w:p w14:paraId="224AE55C">
            <w:pPr>
              <w:widowControl/>
              <w:spacing w:line="360" w:lineRule="auto"/>
              <w:ind w:right="-29" w:rightChars="-14"/>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套</w:t>
            </w:r>
          </w:p>
        </w:tc>
        <w:tc>
          <w:tcPr>
            <w:tcW w:w="850" w:type="dxa"/>
            <w:shd w:val="clear" w:color="auto" w:fill="FFFFFF"/>
            <w:noWrap w:val="0"/>
            <w:tcMar>
              <w:top w:w="15" w:type="dxa"/>
              <w:left w:w="15" w:type="dxa"/>
              <w:right w:w="15" w:type="dxa"/>
            </w:tcMar>
            <w:vAlign w:val="center"/>
          </w:tcPr>
          <w:p w14:paraId="0A567981">
            <w:pPr>
              <w:widowControl/>
              <w:spacing w:line="360" w:lineRule="auto"/>
              <w:ind w:right="-29" w:rightChars="-14"/>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2028" w:type="dxa"/>
            <w:shd w:val="clear" w:color="auto" w:fill="FFFFFF"/>
            <w:noWrap w:val="0"/>
            <w:tcMar>
              <w:top w:w="15" w:type="dxa"/>
              <w:left w:w="15" w:type="dxa"/>
              <w:right w:w="15" w:type="dxa"/>
            </w:tcMar>
            <w:vAlign w:val="center"/>
          </w:tcPr>
          <w:p w14:paraId="7E9060D4">
            <w:pPr>
              <w:widowControl/>
              <w:spacing w:line="360" w:lineRule="auto"/>
              <w:ind w:right="-29" w:rightChars="-1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900,000.00</w:t>
            </w:r>
          </w:p>
        </w:tc>
      </w:tr>
      <w:tr w14:paraId="66A9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43" w:hRule="atLeast"/>
          <w:jc w:val="center"/>
        </w:trPr>
        <w:tc>
          <w:tcPr>
            <w:tcW w:w="1045" w:type="dxa"/>
            <w:vMerge w:val="continue"/>
            <w:shd w:val="clear" w:color="auto" w:fill="FFFFFF"/>
            <w:noWrap w:val="0"/>
            <w:tcMar>
              <w:top w:w="15" w:type="dxa"/>
              <w:left w:w="15" w:type="dxa"/>
              <w:right w:w="15" w:type="dxa"/>
            </w:tcMar>
            <w:vAlign w:val="center"/>
          </w:tcPr>
          <w:p w14:paraId="72B8EEF9">
            <w:pPr>
              <w:widowControl/>
              <w:jc w:val="center"/>
              <w:textAlignment w:val="center"/>
              <w:rPr>
                <w:rFonts w:hint="eastAsia" w:ascii="宋体" w:hAnsi="宋体" w:cs="宋体"/>
                <w:color w:val="auto"/>
                <w:kern w:val="0"/>
                <w:szCs w:val="21"/>
                <w:highlight w:val="none"/>
                <w:lang w:val="en-US" w:eastAsia="zh-CN"/>
              </w:rPr>
            </w:pPr>
          </w:p>
        </w:tc>
        <w:tc>
          <w:tcPr>
            <w:tcW w:w="2835" w:type="dxa"/>
            <w:shd w:val="clear" w:color="auto" w:fill="FFFFFF"/>
            <w:noWrap w:val="0"/>
            <w:tcMar>
              <w:top w:w="15" w:type="dxa"/>
              <w:left w:w="15" w:type="dxa"/>
              <w:right w:w="15" w:type="dxa"/>
            </w:tcMar>
            <w:vAlign w:val="center"/>
          </w:tcPr>
          <w:p w14:paraId="4E0FB2B8">
            <w:pPr>
              <w:widowControl/>
              <w:spacing w:line="360" w:lineRule="auto"/>
              <w:ind w:right="-29" w:rightChars="-14"/>
              <w:jc w:val="center"/>
              <w:rPr>
                <w:rFonts w:hint="eastAsia" w:ascii="宋体" w:hAnsi="宋体" w:cs="宋体"/>
                <w:color w:val="auto"/>
                <w:szCs w:val="21"/>
                <w:highlight w:val="none"/>
                <w:lang w:eastAsia="zh-CN"/>
              </w:rPr>
            </w:pPr>
            <w:r>
              <w:rPr>
                <w:rFonts w:hint="eastAsia" w:ascii="宋体" w:hAnsi="宋体" w:eastAsia="宋体" w:cs="宋体"/>
                <w:color w:val="auto"/>
                <w:szCs w:val="21"/>
                <w:highlight w:val="none"/>
                <w:lang w:eastAsia="zh-CN"/>
              </w:rPr>
              <w:t>呼吸湿化治疗仪</w:t>
            </w:r>
          </w:p>
        </w:tc>
        <w:tc>
          <w:tcPr>
            <w:tcW w:w="1000" w:type="dxa"/>
            <w:shd w:val="clear" w:color="auto" w:fill="FFFFFF"/>
            <w:noWrap w:val="0"/>
            <w:tcMar>
              <w:top w:w="15" w:type="dxa"/>
              <w:left w:w="15" w:type="dxa"/>
              <w:right w:w="15" w:type="dxa"/>
            </w:tcMar>
            <w:vAlign w:val="center"/>
          </w:tcPr>
          <w:p w14:paraId="5594FA98">
            <w:pPr>
              <w:widowControl/>
              <w:spacing w:line="360" w:lineRule="auto"/>
              <w:ind w:right="-29" w:rightChars="-14"/>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套</w:t>
            </w:r>
          </w:p>
        </w:tc>
        <w:tc>
          <w:tcPr>
            <w:tcW w:w="850" w:type="dxa"/>
            <w:shd w:val="clear" w:color="auto" w:fill="FFFFFF"/>
            <w:noWrap w:val="0"/>
            <w:tcMar>
              <w:top w:w="15" w:type="dxa"/>
              <w:left w:w="15" w:type="dxa"/>
              <w:right w:w="15" w:type="dxa"/>
            </w:tcMar>
            <w:vAlign w:val="center"/>
          </w:tcPr>
          <w:p w14:paraId="5513BAE7">
            <w:pPr>
              <w:widowControl/>
              <w:spacing w:line="360" w:lineRule="auto"/>
              <w:ind w:right="-29" w:rightChars="-14"/>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2028" w:type="dxa"/>
            <w:shd w:val="clear" w:color="auto" w:fill="FFFFFF"/>
            <w:noWrap w:val="0"/>
            <w:tcMar>
              <w:top w:w="15" w:type="dxa"/>
              <w:left w:w="15" w:type="dxa"/>
              <w:right w:w="15" w:type="dxa"/>
            </w:tcMar>
            <w:vAlign w:val="center"/>
          </w:tcPr>
          <w:p w14:paraId="255C8233">
            <w:pPr>
              <w:widowControl/>
              <w:spacing w:line="360" w:lineRule="auto"/>
              <w:ind w:right="-29" w:rightChars="-1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200,000.00</w:t>
            </w:r>
          </w:p>
        </w:tc>
      </w:tr>
      <w:tr w14:paraId="7F8B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43" w:hRule="atLeast"/>
          <w:jc w:val="center"/>
        </w:trPr>
        <w:tc>
          <w:tcPr>
            <w:tcW w:w="1045" w:type="dxa"/>
            <w:vMerge w:val="continue"/>
            <w:shd w:val="clear" w:color="auto" w:fill="FFFFFF"/>
            <w:noWrap w:val="0"/>
            <w:tcMar>
              <w:top w:w="15" w:type="dxa"/>
              <w:left w:w="15" w:type="dxa"/>
              <w:right w:w="15" w:type="dxa"/>
            </w:tcMar>
            <w:vAlign w:val="center"/>
          </w:tcPr>
          <w:p w14:paraId="2736F738">
            <w:pPr>
              <w:widowControl/>
              <w:jc w:val="center"/>
              <w:textAlignment w:val="center"/>
              <w:rPr>
                <w:rFonts w:hint="eastAsia" w:ascii="宋体" w:hAnsi="宋体" w:cs="宋体"/>
                <w:color w:val="auto"/>
                <w:kern w:val="0"/>
                <w:szCs w:val="21"/>
                <w:highlight w:val="none"/>
                <w:lang w:val="en-US" w:eastAsia="zh-CN"/>
              </w:rPr>
            </w:pPr>
          </w:p>
        </w:tc>
        <w:tc>
          <w:tcPr>
            <w:tcW w:w="2835" w:type="dxa"/>
            <w:shd w:val="clear" w:color="auto" w:fill="FFFFFF"/>
            <w:noWrap w:val="0"/>
            <w:tcMar>
              <w:top w:w="15" w:type="dxa"/>
              <w:left w:w="15" w:type="dxa"/>
              <w:right w:w="15" w:type="dxa"/>
            </w:tcMar>
            <w:vAlign w:val="center"/>
          </w:tcPr>
          <w:p w14:paraId="24DD4EAC">
            <w:pPr>
              <w:widowControl/>
              <w:spacing w:line="360" w:lineRule="auto"/>
              <w:ind w:right="-29" w:rightChars="-14"/>
              <w:jc w:val="center"/>
              <w:rPr>
                <w:rFonts w:hint="eastAsia" w:ascii="宋体" w:hAnsi="宋体" w:cs="宋体"/>
                <w:color w:val="auto"/>
                <w:szCs w:val="21"/>
                <w:highlight w:val="none"/>
                <w:lang w:eastAsia="zh-CN"/>
              </w:rPr>
            </w:pPr>
            <w:r>
              <w:rPr>
                <w:rFonts w:hint="eastAsia" w:ascii="宋体" w:hAnsi="宋体" w:eastAsia="宋体" w:cs="宋体"/>
                <w:color w:val="auto"/>
                <w:szCs w:val="21"/>
                <w:highlight w:val="none"/>
                <w:lang w:eastAsia="zh-CN"/>
              </w:rPr>
              <w:t>壁式医用负压吸引器</w:t>
            </w:r>
          </w:p>
        </w:tc>
        <w:tc>
          <w:tcPr>
            <w:tcW w:w="1000" w:type="dxa"/>
            <w:shd w:val="clear" w:color="auto" w:fill="FFFFFF"/>
            <w:noWrap w:val="0"/>
            <w:tcMar>
              <w:top w:w="15" w:type="dxa"/>
              <w:left w:w="15" w:type="dxa"/>
              <w:right w:w="15" w:type="dxa"/>
            </w:tcMar>
            <w:vAlign w:val="center"/>
          </w:tcPr>
          <w:p w14:paraId="3B710495">
            <w:pPr>
              <w:widowControl/>
              <w:spacing w:line="360" w:lineRule="auto"/>
              <w:ind w:right="-29" w:rightChars="-14"/>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套</w:t>
            </w:r>
          </w:p>
        </w:tc>
        <w:tc>
          <w:tcPr>
            <w:tcW w:w="850" w:type="dxa"/>
            <w:shd w:val="clear" w:color="auto" w:fill="FFFFFF"/>
            <w:noWrap w:val="0"/>
            <w:tcMar>
              <w:top w:w="15" w:type="dxa"/>
              <w:left w:w="15" w:type="dxa"/>
              <w:right w:w="15" w:type="dxa"/>
            </w:tcMar>
            <w:vAlign w:val="center"/>
          </w:tcPr>
          <w:p w14:paraId="2604983E">
            <w:pPr>
              <w:widowControl/>
              <w:spacing w:line="360" w:lineRule="auto"/>
              <w:ind w:right="-29" w:rightChars="-14"/>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2028" w:type="dxa"/>
            <w:shd w:val="clear" w:color="auto" w:fill="FFFFFF"/>
            <w:noWrap w:val="0"/>
            <w:tcMar>
              <w:top w:w="15" w:type="dxa"/>
              <w:left w:w="15" w:type="dxa"/>
              <w:right w:w="15" w:type="dxa"/>
            </w:tcMar>
            <w:vAlign w:val="center"/>
          </w:tcPr>
          <w:p w14:paraId="03D2B511">
            <w:pPr>
              <w:widowControl/>
              <w:spacing w:line="360" w:lineRule="auto"/>
              <w:ind w:right="-29" w:rightChars="-1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12,500.00</w:t>
            </w:r>
          </w:p>
        </w:tc>
      </w:tr>
      <w:tr w14:paraId="0A9ED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43" w:hRule="atLeast"/>
          <w:jc w:val="center"/>
        </w:trPr>
        <w:tc>
          <w:tcPr>
            <w:tcW w:w="1045" w:type="dxa"/>
            <w:vMerge w:val="continue"/>
            <w:shd w:val="clear" w:color="auto" w:fill="FFFFFF"/>
            <w:noWrap w:val="0"/>
            <w:tcMar>
              <w:top w:w="15" w:type="dxa"/>
              <w:left w:w="15" w:type="dxa"/>
              <w:right w:w="15" w:type="dxa"/>
            </w:tcMar>
            <w:vAlign w:val="center"/>
          </w:tcPr>
          <w:p w14:paraId="65F6F39C">
            <w:pPr>
              <w:widowControl/>
              <w:jc w:val="center"/>
              <w:textAlignment w:val="center"/>
              <w:rPr>
                <w:rFonts w:hint="eastAsia" w:ascii="宋体" w:hAnsi="宋体" w:cs="宋体"/>
                <w:color w:val="auto"/>
                <w:kern w:val="0"/>
                <w:szCs w:val="21"/>
                <w:highlight w:val="none"/>
                <w:lang w:val="en-US" w:eastAsia="zh-CN"/>
              </w:rPr>
            </w:pPr>
          </w:p>
        </w:tc>
        <w:tc>
          <w:tcPr>
            <w:tcW w:w="2835" w:type="dxa"/>
            <w:shd w:val="clear" w:color="auto" w:fill="FFFFFF"/>
            <w:noWrap w:val="0"/>
            <w:tcMar>
              <w:top w:w="15" w:type="dxa"/>
              <w:left w:w="15" w:type="dxa"/>
              <w:right w:w="15" w:type="dxa"/>
            </w:tcMar>
            <w:vAlign w:val="center"/>
          </w:tcPr>
          <w:p w14:paraId="4A5CB879">
            <w:pPr>
              <w:widowControl/>
              <w:spacing w:line="360" w:lineRule="auto"/>
              <w:ind w:right="-29" w:rightChars="-14"/>
              <w:jc w:val="center"/>
              <w:rPr>
                <w:rFonts w:hint="eastAsia" w:ascii="宋体" w:hAnsi="宋体" w:cs="宋体"/>
                <w:color w:val="auto"/>
                <w:szCs w:val="21"/>
                <w:highlight w:val="none"/>
                <w:lang w:eastAsia="zh-CN"/>
              </w:rPr>
            </w:pPr>
            <w:r>
              <w:rPr>
                <w:rFonts w:hint="eastAsia" w:ascii="宋体" w:hAnsi="宋体" w:eastAsia="宋体" w:cs="宋体"/>
                <w:color w:val="auto"/>
                <w:szCs w:val="21"/>
                <w:highlight w:val="none"/>
                <w:lang w:eastAsia="zh-CN"/>
              </w:rPr>
              <w:t>AED除颤仪</w:t>
            </w:r>
          </w:p>
        </w:tc>
        <w:tc>
          <w:tcPr>
            <w:tcW w:w="1000" w:type="dxa"/>
            <w:shd w:val="clear" w:color="auto" w:fill="FFFFFF"/>
            <w:noWrap w:val="0"/>
            <w:tcMar>
              <w:top w:w="15" w:type="dxa"/>
              <w:left w:w="15" w:type="dxa"/>
              <w:right w:w="15" w:type="dxa"/>
            </w:tcMar>
            <w:vAlign w:val="center"/>
          </w:tcPr>
          <w:p w14:paraId="24446FD0">
            <w:pPr>
              <w:widowControl/>
              <w:spacing w:line="360" w:lineRule="auto"/>
              <w:ind w:right="-29" w:rightChars="-14"/>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套</w:t>
            </w:r>
          </w:p>
        </w:tc>
        <w:tc>
          <w:tcPr>
            <w:tcW w:w="850" w:type="dxa"/>
            <w:shd w:val="clear" w:color="auto" w:fill="FFFFFF"/>
            <w:noWrap w:val="0"/>
            <w:tcMar>
              <w:top w:w="15" w:type="dxa"/>
              <w:left w:w="15" w:type="dxa"/>
              <w:right w:w="15" w:type="dxa"/>
            </w:tcMar>
            <w:vAlign w:val="center"/>
          </w:tcPr>
          <w:p w14:paraId="4D03B649">
            <w:pPr>
              <w:widowControl/>
              <w:spacing w:line="360" w:lineRule="auto"/>
              <w:ind w:right="-29" w:rightChars="-14"/>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2028" w:type="dxa"/>
            <w:shd w:val="clear" w:color="auto" w:fill="FFFFFF"/>
            <w:noWrap w:val="0"/>
            <w:tcMar>
              <w:top w:w="15" w:type="dxa"/>
              <w:left w:w="15" w:type="dxa"/>
              <w:right w:w="15" w:type="dxa"/>
            </w:tcMar>
            <w:vAlign w:val="center"/>
          </w:tcPr>
          <w:p w14:paraId="3D41D395">
            <w:pPr>
              <w:widowControl/>
              <w:spacing w:line="360" w:lineRule="auto"/>
              <w:ind w:right="-29" w:rightChars="-1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60,000.00</w:t>
            </w:r>
          </w:p>
        </w:tc>
      </w:tr>
    </w:tbl>
    <w:p w14:paraId="1457B705">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（二）采购项目说明</w:t>
      </w:r>
    </w:p>
    <w:p w14:paraId="7217733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1.详细招标要求及需求请参阅招标文件中采购项目内容。</w:t>
      </w:r>
    </w:p>
    <w:p w14:paraId="797B7E5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2.投标人必须对所投</w:t>
      </w:r>
      <w:r>
        <w:rPr>
          <w:rFonts w:hint="eastAsia" w:ascii="宋体" w:hAnsi="宋体" w:cs="宋体"/>
          <w:color w:val="auto"/>
          <w:sz w:val="24"/>
          <w:szCs w:val="24"/>
          <w:highlight w:val="none"/>
          <w:lang w:val="en-US" w:eastAsia="zh-CN"/>
        </w:rPr>
        <w:t>采购包</w:t>
      </w:r>
      <w:r>
        <w:rPr>
          <w:rFonts w:hint="eastAsia" w:ascii="宋体" w:hAnsi="宋体" w:eastAsia="宋体" w:cs="宋体"/>
          <w:color w:val="auto"/>
          <w:sz w:val="24"/>
          <w:szCs w:val="24"/>
          <w:highlight w:val="none"/>
        </w:rPr>
        <w:t>全部内容进行投标，不允许只对所投</w:t>
      </w:r>
      <w:r>
        <w:rPr>
          <w:rFonts w:hint="eastAsia" w:ascii="宋体" w:hAnsi="宋体" w:cs="宋体"/>
          <w:color w:val="auto"/>
          <w:sz w:val="24"/>
          <w:szCs w:val="24"/>
          <w:highlight w:val="none"/>
          <w:lang w:val="en-US" w:eastAsia="zh-CN"/>
        </w:rPr>
        <w:t>采购包</w:t>
      </w:r>
      <w:r>
        <w:rPr>
          <w:rFonts w:hint="eastAsia" w:ascii="宋体" w:hAnsi="宋体" w:eastAsia="宋体" w:cs="宋体"/>
          <w:color w:val="auto"/>
          <w:sz w:val="24"/>
          <w:szCs w:val="24"/>
          <w:highlight w:val="none"/>
        </w:rPr>
        <w:t>部分内容进行投标。如有缺漏的，将导致投标无效。</w:t>
      </w:r>
    </w:p>
    <w:p w14:paraId="72A14753">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3.需要落实的政府采购政策：《政府采购促进中小企业发展</w:t>
      </w:r>
      <w:r>
        <w:rPr>
          <w:rFonts w:hint="eastAsia" w:ascii="宋体" w:hAnsi="宋体" w:eastAsia="宋体" w:cs="宋体"/>
          <w:color w:val="auto"/>
          <w:sz w:val="24"/>
          <w:szCs w:val="24"/>
          <w:highlight w:val="none"/>
          <w:lang w:val="en-US" w:eastAsia="zh-CN"/>
        </w:rPr>
        <w:t>管理</w:t>
      </w:r>
      <w:r>
        <w:rPr>
          <w:rFonts w:hint="eastAsia" w:ascii="宋体" w:hAnsi="宋体" w:eastAsia="宋体" w:cs="宋体"/>
          <w:color w:val="auto"/>
          <w:sz w:val="24"/>
          <w:szCs w:val="24"/>
          <w:highlight w:val="none"/>
        </w:rPr>
        <w:t>办法》（财库〔2020〕46号）、《关于政府采购支持监狱企业发展有关问题的通知》(财库〔2014〕68号)、《关于促进残疾人就业政府采购政策的通知》（财库〔2017〕141号)、</w:t>
      </w:r>
      <w:r>
        <w:rPr>
          <w:rFonts w:hint="eastAsia" w:ascii="宋体" w:hAnsi="宋体" w:eastAsia="宋体" w:cs="宋体"/>
          <w:color w:val="auto"/>
          <w:sz w:val="24"/>
          <w:szCs w:val="24"/>
          <w:highlight w:val="none"/>
        </w:rPr>
        <w:t>《关于印发环境标志产品政府采购品目清单的通知》（财库〔2019〕18号）、</w:t>
      </w:r>
      <w:r>
        <w:rPr>
          <w:rFonts w:hint="eastAsia" w:ascii="宋体" w:hAnsi="宋体" w:eastAsia="宋体" w:cs="宋体"/>
          <w:color w:val="auto"/>
          <w:sz w:val="24"/>
          <w:szCs w:val="24"/>
          <w:highlight w:val="none"/>
          <w:lang w:eastAsia="zh-CN"/>
        </w:rPr>
        <w:t>《关于印发节能产品政府采购品目清单的通知》（财库〔2019〕19号）、</w:t>
      </w:r>
      <w:r>
        <w:rPr>
          <w:rFonts w:hint="eastAsia" w:ascii="宋体" w:hAnsi="宋体" w:eastAsia="宋体" w:cs="宋体"/>
          <w:color w:val="auto"/>
          <w:sz w:val="24"/>
          <w:szCs w:val="24"/>
          <w:highlight w:val="none"/>
        </w:rPr>
        <w:t>《关于调整优化节能产品、环境标志产品政府采购执行机制的通知》（财库〔2019〕9号）等。</w:t>
      </w:r>
      <w:bookmarkStart w:id="1" w:name="_Toc13769"/>
    </w:p>
    <w:p w14:paraId="1C71F294">
      <w:pPr>
        <w:pStyle w:val="19"/>
        <w:autoSpaceDE w:val="0"/>
        <w:autoSpaceDN w:val="0"/>
        <w:adjustRightInd w:val="0"/>
        <w:spacing w:beforeAutospacing="1" w:afterLines="50" w:line="120" w:lineRule="exact"/>
        <w:outlineLvl w:val="2"/>
        <w:rPr>
          <w:rFonts w:hint="eastAsia" w:ascii="宋体" w:hAnsi="宋体" w:eastAsia="宋体" w:cs="宋体"/>
          <w:b/>
          <w:bCs/>
          <w:color w:val="auto"/>
          <w:kern w:val="0"/>
          <w:sz w:val="20"/>
          <w:highlight w:val="none"/>
        </w:rPr>
        <w:sectPr>
          <w:footerReference r:id="rId3" w:type="default"/>
          <w:pgSz w:w="11906" w:h="16838"/>
          <w:pgMar w:top="1417" w:right="1191" w:bottom="1134" w:left="1191" w:header="1134" w:footer="567" w:gutter="454"/>
          <w:pgNumType w:start="1"/>
          <w:cols w:space="720" w:num="1"/>
          <w:docGrid w:type="lines" w:linePitch="332" w:charSpace="0"/>
        </w:sectPr>
      </w:pPr>
    </w:p>
    <w:bookmarkEnd w:id="1"/>
    <w:p w14:paraId="4FF9FCB3">
      <w:pPr>
        <w:pStyle w:val="9"/>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r>
        <w:rPr>
          <w:rFonts w:hint="eastAsia" w:ascii="宋体" w:hAnsi="宋体" w:eastAsia="宋体" w:cs="宋体"/>
          <w:color w:val="auto"/>
          <w:sz w:val="24"/>
          <w:szCs w:val="24"/>
          <w:highlight w:val="none"/>
          <w:lang w:eastAsia="zh-CN"/>
        </w:rPr>
        <w:t>无创呼吸机、有创呼吸机、转运呼吸机</w:t>
      </w:r>
      <w:r>
        <w:rPr>
          <w:rFonts w:hint="eastAsia" w:ascii="宋体" w:hAnsi="宋体" w:eastAsia="宋体" w:cs="宋体"/>
          <w:color w:val="auto"/>
          <w:sz w:val="24"/>
          <w:szCs w:val="24"/>
          <w:highlight w:val="none"/>
        </w:rPr>
        <w:t>）：</w:t>
      </w:r>
    </w:p>
    <w:p w14:paraId="075D53A0">
      <w:pPr>
        <w:keepNext/>
        <w:keepLines/>
        <w:adjustRightInd w:val="0"/>
        <w:spacing w:beforeLines="50" w:afterLines="50" w:line="360" w:lineRule="auto"/>
        <w:textAlignment w:val="baseline"/>
        <w:outlineLvl w:val="1"/>
        <w:rPr>
          <w:rFonts w:hint="eastAsia" w:ascii="宋体" w:hAnsi="宋体" w:eastAsia="宋体" w:cs="宋体"/>
          <w:b/>
          <w:bCs/>
          <w:color w:val="auto"/>
          <w:sz w:val="24"/>
          <w:szCs w:val="24"/>
          <w:highlight w:val="none"/>
        </w:rPr>
      </w:pPr>
      <w:bookmarkStart w:id="2" w:name="_Toc3626"/>
      <w:r>
        <w:rPr>
          <w:rFonts w:hint="eastAsia" w:ascii="宋体" w:hAnsi="宋体" w:eastAsia="宋体" w:cs="宋体"/>
          <w:b/>
          <w:bCs/>
          <w:color w:val="auto"/>
          <w:sz w:val="24"/>
          <w:szCs w:val="24"/>
          <w:highlight w:val="none"/>
        </w:rPr>
        <w:t>1.主要商务要求</w:t>
      </w:r>
      <w:bookmarkEnd w:id="2"/>
    </w:p>
    <w:tbl>
      <w:tblPr>
        <w:tblStyle w:val="12"/>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6952"/>
      </w:tblGrid>
      <w:tr w14:paraId="13E81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112" w:type="dxa"/>
            <w:noWrap w:val="0"/>
            <w:vAlign w:val="center"/>
          </w:tcPr>
          <w:p w14:paraId="5093AF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标的提供的时间</w:t>
            </w:r>
          </w:p>
        </w:tc>
        <w:tc>
          <w:tcPr>
            <w:tcW w:w="6952" w:type="dxa"/>
            <w:noWrap w:val="0"/>
            <w:vAlign w:val="center"/>
          </w:tcPr>
          <w:p w14:paraId="7D467F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合同签订后</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0个工作日内</w:t>
            </w:r>
            <w:r>
              <w:rPr>
                <w:rFonts w:hint="eastAsia" w:ascii="宋体" w:hAnsi="宋体" w:eastAsia="宋体" w:cs="宋体"/>
                <w:color w:val="auto"/>
                <w:sz w:val="21"/>
                <w:szCs w:val="21"/>
                <w:highlight w:val="none"/>
                <w:lang w:eastAsia="zh-CN"/>
              </w:rPr>
              <w:t>；如因采购人场地未能达到设备要求的安装条件或其他不可控因素而导致不能按期收货的，采购人中标人双方另行商定交货时间。</w:t>
            </w:r>
          </w:p>
        </w:tc>
      </w:tr>
      <w:tr w14:paraId="23BF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112" w:type="dxa"/>
            <w:noWrap w:val="0"/>
            <w:vAlign w:val="center"/>
          </w:tcPr>
          <w:p w14:paraId="61140E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标的提供的地点</w:t>
            </w:r>
          </w:p>
        </w:tc>
        <w:tc>
          <w:tcPr>
            <w:tcW w:w="6952" w:type="dxa"/>
            <w:noWrap w:val="0"/>
            <w:vAlign w:val="center"/>
          </w:tcPr>
          <w:p w14:paraId="01183E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运输及卸车至采购人（用户）指定地点：广东省人民医院南海医院（佛山市南海区第二人民医院）</w:t>
            </w:r>
          </w:p>
        </w:tc>
      </w:tr>
      <w:tr w14:paraId="7590B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112" w:type="dxa"/>
            <w:noWrap w:val="0"/>
            <w:vAlign w:val="center"/>
          </w:tcPr>
          <w:p w14:paraId="3ED7A4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6952" w:type="dxa"/>
            <w:noWrap w:val="0"/>
            <w:vAlign w:val="center"/>
          </w:tcPr>
          <w:p w14:paraId="589C3C17">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lang w:val="en-US" w:eastAsia="zh-CN"/>
              </w:rPr>
              <w:t>第</w:t>
            </w:r>
            <w:r>
              <w:rPr>
                <w:rFonts w:hint="eastAsia" w:ascii="宋体" w:hAnsi="宋体" w:eastAsia="宋体" w:cs="宋体"/>
                <w:b/>
                <w:bCs/>
                <w:color w:val="auto"/>
                <w:kern w:val="2"/>
                <w:sz w:val="21"/>
                <w:szCs w:val="21"/>
                <w:highlight w:val="none"/>
              </w:rPr>
              <w:t>1期</w:t>
            </w:r>
            <w:r>
              <w:rPr>
                <w:rFonts w:hint="eastAsia" w:ascii="宋体" w:hAnsi="宋体" w:eastAsia="宋体" w:cs="宋体"/>
                <w:b/>
                <w:bCs/>
                <w:color w:val="auto"/>
                <w:kern w:val="2"/>
                <w:sz w:val="21"/>
                <w:szCs w:val="21"/>
                <w:highlight w:val="none"/>
                <w:lang w:val="en-US" w:eastAsia="zh-CN"/>
              </w:rPr>
              <w:t>为（</w:t>
            </w:r>
            <w:r>
              <w:rPr>
                <w:rFonts w:hint="eastAsia" w:ascii="宋体" w:hAnsi="宋体" w:eastAsia="宋体" w:cs="宋体"/>
                <w:b/>
                <w:bCs/>
                <w:color w:val="auto"/>
                <w:kern w:val="2"/>
                <w:sz w:val="21"/>
                <w:szCs w:val="21"/>
                <w:highlight w:val="none"/>
                <w:lang w:val="en-US" w:eastAsia="zh-CN"/>
              </w:rPr>
              <w:t>全款</w:t>
            </w:r>
            <w:r>
              <w:rPr>
                <w:rFonts w:hint="eastAsia" w:ascii="宋体" w:hAnsi="宋体" w:eastAsia="宋体" w:cs="宋体"/>
                <w:b/>
                <w:bCs/>
                <w:color w:val="auto"/>
                <w:kern w:val="2"/>
                <w:sz w:val="21"/>
                <w:szCs w:val="21"/>
                <w:highlight w:val="none"/>
                <w:lang w:val="en-US" w:eastAsia="zh-CN"/>
              </w:rPr>
              <w:t>）</w:t>
            </w:r>
            <w:r>
              <w:rPr>
                <w:rFonts w:hint="eastAsia" w:ascii="宋体" w:hAnsi="宋体" w:eastAsia="宋体" w:cs="宋体"/>
                <w:b/>
                <w:bCs/>
                <w:color w:val="auto"/>
                <w:kern w:val="2"/>
                <w:sz w:val="21"/>
                <w:szCs w:val="21"/>
                <w:highlight w:val="none"/>
              </w:rPr>
              <w:t>：</w:t>
            </w:r>
            <w:r>
              <w:rPr>
                <w:rFonts w:hint="eastAsia" w:ascii="宋体" w:hAnsi="宋体" w:eastAsia="宋体" w:cs="宋体"/>
                <w:color w:val="auto"/>
                <w:kern w:val="2"/>
                <w:sz w:val="21"/>
                <w:szCs w:val="21"/>
                <w:highlight w:val="none"/>
              </w:rPr>
              <w:t>支付比例</w:t>
            </w:r>
            <w:r>
              <w:rPr>
                <w:rFonts w:hint="eastAsia" w:ascii="宋体" w:hAnsi="宋体" w:eastAsia="宋体" w:cs="宋体"/>
                <w:color w:val="auto"/>
                <w:kern w:val="2"/>
                <w:sz w:val="21"/>
                <w:szCs w:val="21"/>
                <w:highlight w:val="none"/>
                <w:lang w:val="en-US" w:eastAsia="zh-CN"/>
              </w:rPr>
              <w:t>100</w:t>
            </w:r>
            <w:r>
              <w:rPr>
                <w:rFonts w:hint="eastAsia" w:ascii="宋体" w:hAnsi="宋体" w:eastAsia="宋体" w:cs="宋体"/>
                <w:color w:val="auto"/>
                <w:kern w:val="2"/>
                <w:sz w:val="21"/>
                <w:szCs w:val="21"/>
                <w:highlight w:val="none"/>
              </w:rPr>
              <w:t>%，</w:t>
            </w:r>
          </w:p>
          <w:p w14:paraId="7A613878">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eastAsia="zh-CN"/>
              </w:rPr>
              <w:t>合同全部设备到</w:t>
            </w:r>
            <w:r>
              <w:rPr>
                <w:rFonts w:hint="eastAsia" w:ascii="宋体" w:hAnsi="宋体" w:eastAsia="宋体" w:cs="宋体"/>
                <w:b w:val="0"/>
                <w:bCs w:val="0"/>
                <w:color w:val="auto"/>
                <w:kern w:val="2"/>
                <w:sz w:val="21"/>
                <w:szCs w:val="21"/>
                <w:highlight w:val="none"/>
                <w:lang w:eastAsia="zh-CN"/>
              </w:rPr>
              <w:t>采购</w:t>
            </w:r>
            <w:r>
              <w:rPr>
                <w:rFonts w:hint="eastAsia" w:ascii="宋体" w:hAnsi="宋体" w:eastAsia="宋体" w:cs="宋体"/>
                <w:b w:val="0"/>
                <w:bCs w:val="0"/>
                <w:color w:val="auto"/>
                <w:kern w:val="2"/>
                <w:sz w:val="21"/>
                <w:szCs w:val="21"/>
                <w:highlight w:val="none"/>
                <w:lang w:val="en-US" w:eastAsia="zh-CN"/>
              </w:rPr>
              <w:t>人</w:t>
            </w:r>
            <w:r>
              <w:rPr>
                <w:rFonts w:hint="eastAsia" w:ascii="宋体" w:hAnsi="宋体" w:eastAsia="宋体" w:cs="宋体"/>
                <w:b w:val="0"/>
                <w:bCs w:val="0"/>
                <w:color w:val="auto"/>
                <w:kern w:val="2"/>
                <w:sz w:val="21"/>
                <w:szCs w:val="21"/>
                <w:highlight w:val="none"/>
                <w:lang w:eastAsia="zh-CN"/>
              </w:rPr>
              <w:t>指定地点完成交付，安装、调试、培训并验收合格后，</w:t>
            </w:r>
            <w:r>
              <w:rPr>
                <w:rFonts w:hint="eastAsia" w:ascii="宋体" w:hAnsi="宋体" w:eastAsia="宋体" w:cs="宋体"/>
                <w:b w:val="0"/>
                <w:bCs w:val="0"/>
                <w:color w:val="auto"/>
                <w:kern w:val="2"/>
                <w:sz w:val="21"/>
                <w:szCs w:val="21"/>
                <w:highlight w:val="none"/>
                <w:lang w:val="en-US" w:eastAsia="zh-CN"/>
              </w:rPr>
              <w:t>中标人</w:t>
            </w:r>
            <w:r>
              <w:rPr>
                <w:rFonts w:hint="eastAsia" w:ascii="宋体" w:hAnsi="宋体" w:eastAsia="宋体" w:cs="宋体"/>
                <w:b w:val="0"/>
                <w:bCs w:val="0"/>
                <w:color w:val="auto"/>
                <w:kern w:val="2"/>
                <w:sz w:val="21"/>
                <w:szCs w:val="21"/>
                <w:highlight w:val="none"/>
                <w:lang w:eastAsia="zh-CN"/>
              </w:rPr>
              <w:t>书面提出付款申请，凭付款申请书、与商品名称相符的合法全额发票和合同原件、安装验收报告（需有双方签字、盖章）及相关验收资料等，</w:t>
            </w:r>
            <w:r>
              <w:rPr>
                <w:rFonts w:hint="eastAsia" w:ascii="宋体" w:hAnsi="宋体" w:eastAsia="宋体" w:cs="宋体"/>
                <w:b w:val="0"/>
                <w:bCs w:val="0"/>
                <w:color w:val="auto"/>
                <w:kern w:val="2"/>
                <w:sz w:val="21"/>
                <w:szCs w:val="21"/>
                <w:highlight w:val="none"/>
                <w:lang w:eastAsia="zh-CN"/>
              </w:rPr>
              <w:t>采购</w:t>
            </w:r>
            <w:r>
              <w:rPr>
                <w:rFonts w:hint="eastAsia" w:ascii="宋体" w:hAnsi="宋体" w:eastAsia="宋体" w:cs="宋体"/>
                <w:b w:val="0"/>
                <w:bCs w:val="0"/>
                <w:color w:val="auto"/>
                <w:kern w:val="2"/>
                <w:sz w:val="21"/>
                <w:szCs w:val="21"/>
                <w:highlight w:val="none"/>
                <w:lang w:val="en-US" w:eastAsia="zh-CN"/>
              </w:rPr>
              <w:t>人</w:t>
            </w:r>
            <w:r>
              <w:rPr>
                <w:rFonts w:hint="eastAsia" w:ascii="宋体" w:hAnsi="宋体" w:eastAsia="宋体" w:cs="宋体"/>
                <w:b w:val="0"/>
                <w:bCs w:val="0"/>
                <w:color w:val="auto"/>
                <w:kern w:val="2"/>
                <w:sz w:val="21"/>
                <w:szCs w:val="21"/>
                <w:highlight w:val="none"/>
                <w:lang w:eastAsia="zh-CN"/>
              </w:rPr>
              <w:t>经确认无误后启动支付流程，支付合同总金额的100%。</w:t>
            </w:r>
            <w:r>
              <w:rPr>
                <w:rFonts w:hint="eastAsia" w:ascii="宋体" w:hAnsi="宋体" w:eastAsia="宋体" w:cs="宋体"/>
                <w:b w:val="0"/>
                <w:bCs w:val="0"/>
                <w:color w:val="auto"/>
                <w:kern w:val="2"/>
                <w:sz w:val="21"/>
                <w:szCs w:val="21"/>
                <w:highlight w:val="none"/>
                <w:lang w:eastAsia="zh-CN"/>
              </w:rPr>
              <w:t>采购</w:t>
            </w:r>
            <w:r>
              <w:rPr>
                <w:rFonts w:hint="eastAsia" w:ascii="宋体" w:hAnsi="宋体" w:eastAsia="宋体" w:cs="宋体"/>
                <w:b w:val="0"/>
                <w:bCs w:val="0"/>
                <w:color w:val="auto"/>
                <w:kern w:val="2"/>
                <w:sz w:val="21"/>
                <w:szCs w:val="21"/>
                <w:highlight w:val="none"/>
                <w:lang w:val="en-US" w:eastAsia="zh-CN"/>
              </w:rPr>
              <w:t>人</w:t>
            </w:r>
            <w:r>
              <w:rPr>
                <w:rFonts w:hint="eastAsia" w:ascii="宋体" w:hAnsi="宋体" w:eastAsia="宋体" w:cs="宋体"/>
                <w:b w:val="0"/>
                <w:bCs w:val="0"/>
                <w:color w:val="auto"/>
                <w:kern w:val="2"/>
                <w:sz w:val="21"/>
                <w:szCs w:val="21"/>
                <w:highlight w:val="none"/>
                <w:lang w:eastAsia="zh-CN"/>
              </w:rPr>
              <w:t>在收到</w:t>
            </w:r>
            <w:r>
              <w:rPr>
                <w:rFonts w:hint="eastAsia" w:ascii="宋体" w:hAnsi="宋体" w:eastAsia="宋体" w:cs="宋体"/>
                <w:b w:val="0"/>
                <w:bCs w:val="0"/>
                <w:color w:val="auto"/>
                <w:kern w:val="2"/>
                <w:sz w:val="21"/>
                <w:szCs w:val="21"/>
                <w:highlight w:val="none"/>
                <w:lang w:val="en-US" w:eastAsia="zh-CN"/>
              </w:rPr>
              <w:t>中标人</w:t>
            </w:r>
            <w:r>
              <w:rPr>
                <w:rFonts w:hint="eastAsia" w:ascii="宋体" w:hAnsi="宋体" w:eastAsia="宋体" w:cs="宋体"/>
                <w:b w:val="0"/>
                <w:bCs w:val="0"/>
                <w:color w:val="auto"/>
                <w:kern w:val="2"/>
                <w:sz w:val="21"/>
                <w:szCs w:val="21"/>
                <w:highlight w:val="none"/>
                <w:lang w:eastAsia="zh-CN"/>
              </w:rPr>
              <w:t>书面付款申请及相关资料后，有权对设备的运行情况进行再次检查，如发现设备存在任何问题，</w:t>
            </w:r>
            <w:r>
              <w:rPr>
                <w:rFonts w:hint="eastAsia" w:ascii="宋体" w:hAnsi="宋体" w:eastAsia="宋体" w:cs="宋体"/>
                <w:b w:val="0"/>
                <w:bCs w:val="0"/>
                <w:color w:val="auto"/>
                <w:kern w:val="2"/>
                <w:sz w:val="21"/>
                <w:szCs w:val="21"/>
                <w:highlight w:val="none"/>
                <w:lang w:eastAsia="zh-CN"/>
              </w:rPr>
              <w:t>采购</w:t>
            </w:r>
            <w:r>
              <w:rPr>
                <w:rFonts w:hint="eastAsia" w:ascii="宋体" w:hAnsi="宋体" w:eastAsia="宋体" w:cs="宋体"/>
                <w:b w:val="0"/>
                <w:bCs w:val="0"/>
                <w:color w:val="auto"/>
                <w:kern w:val="2"/>
                <w:sz w:val="21"/>
                <w:szCs w:val="21"/>
                <w:highlight w:val="none"/>
                <w:lang w:val="en-US" w:eastAsia="zh-CN"/>
              </w:rPr>
              <w:t>人</w:t>
            </w:r>
            <w:r>
              <w:rPr>
                <w:rFonts w:hint="eastAsia" w:ascii="宋体" w:hAnsi="宋体" w:eastAsia="宋体" w:cs="宋体"/>
                <w:b w:val="0"/>
                <w:bCs w:val="0"/>
                <w:color w:val="auto"/>
                <w:kern w:val="2"/>
                <w:sz w:val="21"/>
                <w:szCs w:val="21"/>
                <w:highlight w:val="none"/>
                <w:lang w:eastAsia="zh-CN"/>
              </w:rPr>
              <w:t>有权暂停支付，直至问题解决。</w:t>
            </w:r>
          </w:p>
          <w:p w14:paraId="3B38250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付款要求：</w:t>
            </w:r>
          </w:p>
          <w:p w14:paraId="260837E7">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b w:val="0"/>
                <w:bCs w:val="0"/>
                <w:color w:val="auto"/>
                <w:sz w:val="21"/>
                <w:szCs w:val="21"/>
                <w:highlight w:val="none"/>
              </w:rPr>
              <w:t>款项以人民币支票或者转账的方式支付。</w:t>
            </w:r>
          </w:p>
          <w:p w14:paraId="1308B68C">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sz w:val="21"/>
                <w:szCs w:val="21"/>
                <w:highlight w:val="none"/>
                <w:lang w:eastAsia="zh-CN"/>
              </w:rPr>
              <w:t>因采购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lang w:eastAsia="zh-CN"/>
              </w:rPr>
              <w:t>使用的是财政资金，采购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lang w:eastAsia="zh-CN"/>
              </w:rPr>
              <w:t>在前款规定的付款时间</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lang w:eastAsia="zh-CN"/>
              </w:rPr>
              <w:t>向政府采购支付部门提出办理财政支付申请手续即视为采购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lang w:eastAsia="zh-CN"/>
              </w:rPr>
              <w:t>已经按期支付。</w:t>
            </w:r>
          </w:p>
          <w:p w14:paraId="4A3E1451">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3.收款方、出具发票方、合同乙方均必须与中标（成交）供应商名称一致。</w:t>
            </w:r>
          </w:p>
          <w:p w14:paraId="0E43554F">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4.中标人应确保所提供的发票真实、合法、有效，如因发票问题导致采购人遭受税务处罚或其他损失，中标人应承担全部赔偿责任。</w:t>
            </w:r>
          </w:p>
        </w:tc>
      </w:tr>
      <w:tr w14:paraId="3873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064" w:type="dxa"/>
            <w:gridSpan w:val="2"/>
            <w:noWrap w:val="0"/>
            <w:vAlign w:val="center"/>
          </w:tcPr>
          <w:p w14:paraId="40A1EB74">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如项目发生合同融资，采购人应当将合同款项支付到合同约定收款账户。</w:t>
            </w:r>
          </w:p>
        </w:tc>
      </w:tr>
      <w:tr w14:paraId="14B8F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112" w:type="dxa"/>
            <w:noWrap w:val="0"/>
            <w:vAlign w:val="center"/>
          </w:tcPr>
          <w:p w14:paraId="0AE541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验收要求</w:t>
            </w:r>
          </w:p>
        </w:tc>
        <w:tc>
          <w:tcPr>
            <w:tcW w:w="6952" w:type="dxa"/>
            <w:noWrap w:val="0"/>
            <w:vAlign w:val="center"/>
          </w:tcPr>
          <w:p w14:paraId="6D6403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1期：</w:t>
            </w:r>
          </w:p>
          <w:p w14:paraId="6DB602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1.交付验收：在设备安装调试至正常运行的最佳状态且双方均认为满意后20个工作日内，</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的名义作为终端客户，负责办理所有产品设备(包括保修卡)的一切保修注册备案手续，然后由双方或法定专业质检部门共同验收并出具验收确认书</w:t>
            </w:r>
            <w:r>
              <w:rPr>
                <w:rFonts w:hint="eastAsia" w:ascii="宋体" w:hAnsi="宋体" w:eastAsia="宋体" w:cs="宋体"/>
                <w:color w:val="auto"/>
                <w:sz w:val="21"/>
                <w:szCs w:val="21"/>
                <w:highlight w:val="none"/>
                <w:lang w:eastAsia="zh-CN"/>
              </w:rPr>
              <w:t>，完成设备首次计量工作</w:t>
            </w:r>
            <w:r>
              <w:rPr>
                <w:rFonts w:hint="eastAsia" w:ascii="宋体" w:hAnsi="宋体" w:eastAsia="宋体" w:cs="宋体"/>
                <w:color w:val="auto"/>
                <w:sz w:val="21"/>
                <w:szCs w:val="21"/>
                <w:highlight w:val="none"/>
              </w:rPr>
              <w:t>，验收交付前的保管安全责任由</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负责。</w:t>
            </w:r>
          </w:p>
          <w:p w14:paraId="67F244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验收依次序对照执行标准为：①符合中华人民共和国国家和履约地相关安全质量标准、行业技术规范标准、环保节能标准；②符合采购文件和响应承诺中各方共同认可的合理最佳配置、参数规格及各项要求；③符合产品来源国官方颁布的最新标准；④双方约定的其他验收标准。</w:t>
            </w:r>
            <w:r>
              <w:rPr>
                <w:rFonts w:hint="eastAsia"/>
                <w:color w:val="auto"/>
                <w:highlight w:val="none"/>
              </w:rPr>
              <w:t>如中标人提供的设备不符合上述任何一项标准，采购人有权要求中标人无条件更换或退货，并承担因此给采购人造成的一切损失。</w:t>
            </w:r>
          </w:p>
          <w:p w14:paraId="0FED59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因中标人原因导致设备损坏或短缺，中标人应在接到采购人通知的具体天数内完成换货，并承担换货的一切费用。如中标人未能在规定时间内完成换货，采购人有权解除合同，并要求中标人赔偿因此给采购人造成的全部损失。</w:t>
            </w:r>
          </w:p>
          <w:p w14:paraId="056273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4.产品均为近</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个月内原厂制造的全新合格产品，且有合法透明的来源渠道，整机无污染、无侵权行为、表面无划损、无任何缺陷隐患，可依常规合法安全使用。</w:t>
            </w:r>
          </w:p>
          <w:p w14:paraId="315F23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5.包装标准为原厂制造商未启封全新包装，序列号、包装箱号与出厂批号一致，并可追索查阅。</w:t>
            </w:r>
          </w:p>
          <w:p w14:paraId="4A2556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组成验收小组按国家有关规定、规范进行验收，必要时邀请相关的专业人员或机构参与验收。</w:t>
            </w:r>
          </w:p>
        </w:tc>
      </w:tr>
      <w:tr w14:paraId="096D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12" w:type="dxa"/>
            <w:noWrap w:val="0"/>
            <w:vAlign w:val="center"/>
          </w:tcPr>
          <w:p w14:paraId="00109A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6952" w:type="dxa"/>
            <w:noWrap w:val="0"/>
            <w:vAlign w:val="center"/>
          </w:tcPr>
          <w:p w14:paraId="3DB8A5E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收取比例：</w:t>
            </w:r>
            <w:r>
              <w:rPr>
                <w:rFonts w:hint="eastAsia" w:ascii="宋体" w:hAnsi="宋体" w:eastAsia="宋体" w:cs="宋体"/>
                <w:b/>
                <w:bCs/>
                <w:color w:val="auto"/>
                <w:sz w:val="21"/>
                <w:szCs w:val="21"/>
                <w:highlight w:val="none"/>
                <w:u w:val="single"/>
                <w:lang w:val="en-US" w:eastAsia="zh-CN"/>
              </w:rPr>
              <w:t xml:space="preserve">10 </w:t>
            </w: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sz w:val="21"/>
                <w:szCs w:val="21"/>
                <w:highlight w:val="none"/>
              </w:rPr>
              <w:t>，说明：</w:t>
            </w:r>
          </w:p>
          <w:p w14:paraId="4C8F753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1.中标人须在合同签订后5个工作日内向采购人提交缴纳履约保证金缴纳证明。</w:t>
            </w:r>
          </w:p>
          <w:p w14:paraId="094328E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2.履约保证金可以采用银行转账、支票、汇票、本票、国有银行或股份制商业银行出具为保函（如提供银行保函，应提供见索即付保函）等形式提交</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如采用</w:t>
            </w:r>
            <w:r>
              <w:rPr>
                <w:rFonts w:hint="eastAsia" w:ascii="宋体" w:hAnsi="宋体" w:eastAsia="宋体" w:cs="宋体"/>
                <w:color w:val="auto"/>
                <w:highlight w:val="none"/>
                <w:lang w:eastAsia="zh-CN"/>
              </w:rPr>
              <w:t>银行转账、支票、汇票、本票</w:t>
            </w:r>
            <w:r>
              <w:rPr>
                <w:rFonts w:hint="eastAsia" w:ascii="宋体" w:hAnsi="宋体" w:eastAsia="宋体" w:cs="宋体"/>
                <w:color w:val="auto"/>
                <w:highlight w:val="none"/>
                <w:lang w:val="en-US" w:eastAsia="zh-CN"/>
              </w:rPr>
              <w:t>形式提交的，其</w:t>
            </w:r>
            <w:r>
              <w:rPr>
                <w:rFonts w:hint="eastAsia" w:ascii="宋体" w:hAnsi="宋体" w:eastAsia="宋体" w:cs="宋体"/>
                <w:color w:val="auto"/>
                <w:highlight w:val="none"/>
                <w:lang w:eastAsia="zh-CN"/>
              </w:rPr>
              <w:t>出具方为中标人</w:t>
            </w:r>
            <w:r>
              <w:rPr>
                <w:rFonts w:hint="eastAsia" w:ascii="宋体" w:hAnsi="宋体" w:eastAsia="宋体" w:cs="宋体"/>
                <w:color w:val="auto"/>
                <w:sz w:val="21"/>
                <w:szCs w:val="21"/>
                <w:highlight w:val="none"/>
                <w:lang w:val="en-US" w:eastAsia="zh-CN"/>
              </w:rPr>
              <w:t>。履约保证金数额为合同总金额的10 %（如中标人为中小企业，履约保证金数额为合同总金额的5 %）。采用保函形式提交履约保证金的，保函的有效期应当覆盖项目实施全过程，当项目实施过程</w:t>
            </w:r>
            <w:r>
              <w:rPr>
                <w:rFonts w:hint="eastAsia"/>
                <w:color w:val="auto"/>
                <w:highlight w:val="none"/>
                <w:lang w:eastAsia="zh-CN"/>
              </w:rPr>
              <w:t>（</w:t>
            </w:r>
            <w:r>
              <w:rPr>
                <w:rFonts w:hint="eastAsia" w:ascii="宋体" w:hAnsi="宋体" w:eastAsia="宋体" w:cs="宋体"/>
                <w:color w:val="auto"/>
                <w:sz w:val="21"/>
                <w:szCs w:val="21"/>
                <w:highlight w:val="none"/>
                <w:lang w:val="en-US" w:eastAsia="zh-CN"/>
              </w:rPr>
              <w:t>项目验收合格且正常运行一年</w:t>
            </w:r>
            <w:r>
              <w:rPr>
                <w:rFonts w:hint="eastAsia"/>
                <w:color w:val="auto"/>
                <w:highlight w:val="none"/>
                <w:lang w:eastAsia="zh-CN"/>
              </w:rPr>
              <w:t>）</w:t>
            </w:r>
            <w:r>
              <w:rPr>
                <w:rFonts w:hint="eastAsia" w:ascii="宋体" w:hAnsi="宋体" w:eastAsia="宋体" w:cs="宋体"/>
                <w:color w:val="auto"/>
                <w:sz w:val="21"/>
                <w:szCs w:val="21"/>
                <w:highlight w:val="none"/>
                <w:lang w:val="en-US" w:eastAsia="zh-CN"/>
              </w:rPr>
              <w:t>中保函剩余有效期不足 60 日时，中标人应当适当延长保函有效期或重新提交履约保证金。</w:t>
            </w:r>
          </w:p>
          <w:p w14:paraId="3676189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3.如中标人未能按时缴纳履约保证金的，采购人有权解除合同。造成采购人损失的，采购人有权向中标人主张赔偿（包括但不限于诉讼费、律师服务费等损失）。</w:t>
            </w:r>
          </w:p>
          <w:p w14:paraId="3C3F1F5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一旦中标人违约，采购人有权按双方约定根据情节轻重全部或部分扣减保证金作为违约金。因中标人违约行为导致保证金被扣减的，采购人可要求中标人补足保证金。中标人应在采购人提出要求之日起一个月内补足。中标人逾期未补足的，由采购人从支付给中标人的款项中直接扣除相应数额予以补足。</w:t>
            </w:r>
          </w:p>
          <w:p w14:paraId="15B5C1C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5.履约保证金在项目验收合格且正常运行一年后，中标人按照约定认真履行合同且未发生不退回履约保证金的事项时，</w:t>
            </w:r>
            <w:r>
              <w:rPr>
                <w:rFonts w:hint="eastAsia" w:ascii="宋体" w:hAnsi="宋体" w:eastAsia="宋体" w:cs="宋体"/>
                <w:color w:val="auto"/>
                <w:sz w:val="21"/>
                <w:szCs w:val="21"/>
                <w:highlight w:val="none"/>
                <w:lang w:val="en-US" w:eastAsia="zh-CN"/>
              </w:rPr>
              <w:t>凭付款申请书、履约保证金收据或履约担保函复印件、合同复印件等到</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请款，</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经确认无误后，</w:t>
            </w:r>
            <w:r>
              <w:rPr>
                <w:rFonts w:hint="eastAsia" w:ascii="宋体" w:hAnsi="宋体" w:eastAsia="宋体" w:cs="宋体"/>
                <w:color w:val="auto"/>
                <w:sz w:val="21"/>
                <w:szCs w:val="21"/>
                <w:highlight w:val="none"/>
                <w:lang w:val="en-US" w:eastAsia="zh-CN"/>
              </w:rPr>
              <w:t>按照合同约定原额无息退还，履约保证金以履约担保函形式提交的，担保责任终止。</w:t>
            </w:r>
          </w:p>
          <w:p w14:paraId="1D42FA2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履约保证金不予退还情形：①中标人不履行与采购人订立的合同的，履约保证金不予退还，给采购人造成的损失超过履约保证金数额的，还应当对超过部分予以赔偿。②项目验收结果不合格的，履约保证金将不予退还。③其他违反国家相关法律法规的情形。</w:t>
            </w:r>
          </w:p>
          <w:p w14:paraId="004B20A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7.履约保证金以银行转账形式提交的，中标人在规定时间内转入以下账户：</w:t>
            </w:r>
          </w:p>
          <w:p w14:paraId="48CA9AA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开户名称：广东省人民医院南海医院</w:t>
            </w:r>
          </w:p>
          <w:p w14:paraId="75C0F09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银行账号：2013022329200146775</w:t>
            </w:r>
          </w:p>
          <w:p w14:paraId="1C9FF98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开户行：工行广东佛山分行平洲支行</w:t>
            </w:r>
          </w:p>
          <w:p w14:paraId="22676AF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履约保证金可以以履约保函（保险）形式提供，目前"广东政府采购智慧云平台金融服务中心(https://gdgpo.czt.gd.gov.cn/zcdservice/zcd/guangdong/)已实现电子履约保函（保险）在线办理功能，有意愿供应商可自行办理提供。</w:t>
            </w:r>
          </w:p>
        </w:tc>
      </w:tr>
      <w:tr w14:paraId="37DC4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12" w:type="dxa"/>
            <w:noWrap w:val="0"/>
            <w:vAlign w:val="center"/>
          </w:tcPr>
          <w:p w14:paraId="60982A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6952" w:type="dxa"/>
            <w:noWrap w:val="0"/>
            <w:vAlign w:val="center"/>
          </w:tcPr>
          <w:p w14:paraId="34DA28D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p w14:paraId="04B6215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“主要商务要求”所述内容和条款如本招标文件未有特别声明均作为</w:t>
            </w:r>
            <w:r>
              <w:rPr>
                <w:rFonts w:hint="eastAsia" w:ascii="宋体" w:hAnsi="宋体" w:eastAsia="宋体" w:cs="宋体"/>
                <w:b/>
                <w:bCs/>
                <w:color w:val="auto"/>
                <w:sz w:val="21"/>
                <w:szCs w:val="21"/>
                <w:highlight w:val="none"/>
              </w:rPr>
              <w:t>“★”号条款即</w:t>
            </w:r>
            <w:r>
              <w:rPr>
                <w:rFonts w:hint="eastAsia" w:ascii="宋体" w:hAnsi="宋体" w:eastAsia="宋体" w:cs="宋体"/>
                <w:b/>
                <w:bCs/>
                <w:color w:val="auto"/>
                <w:sz w:val="21"/>
                <w:szCs w:val="21"/>
                <w:highlight w:val="none"/>
                <w:lang w:val="en-US" w:eastAsia="zh-CN"/>
              </w:rPr>
              <w:t>投标实质性响应内容，投标人投标时必须响应满足或实质性优于。否则，其投标将被认定为不能满足招标文件要求而作为无效投标处理。</w:t>
            </w:r>
          </w:p>
          <w:p w14:paraId="5121F56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★2.如投标人为经营企业： 所投产品为第二类医疗器械，投标时应承诺于供货时提供药品监督管理部门签发的医疗器械经营备案凭证复印件（提供承诺函并加盖投标人公章，不提供视为不响应)。如投标人在投标时已具备该备案凭证的，可在投标时提供复印件加盖投标人公章，视为响应。（如投标人所在地实施“一照通行”相关政策，其第二类医疗器械经营备案事项以二维码形式集中反映在营业执照上的，应提供扫描二维码后反映的有效事项信息截图。）</w:t>
            </w:r>
          </w:p>
          <w:p w14:paraId="6B1EBB4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★3.根据财政部、国家发展改革委、生态环境部、市场监管总局发布的《关于调整优化节能产品、环境标志产品政府采购执行机制的通知》（财库〔2019〕9 号）的规定，采购人拟采购的产品属于最新一期节能产品强制采购品目清单范围的，投标人必须提供政府强制采购的节能产品且必须于投标文件中提供投标产品所在品目清单页及国家确定的认证机构出具的、处于有效期之内的节能产品认证证书复印件加盖投标人公章。（如是，须提供）</w:t>
            </w:r>
          </w:p>
        </w:tc>
      </w:tr>
    </w:tbl>
    <w:p w14:paraId="47E122E7">
      <w:pPr>
        <w:keepNext/>
        <w:keepLines/>
        <w:adjustRightInd w:val="0"/>
        <w:spacing w:beforeLines="50" w:afterLines="50" w:line="360" w:lineRule="auto"/>
        <w:textAlignment w:val="baseline"/>
        <w:outlineLvl w:val="1"/>
        <w:rPr>
          <w:rFonts w:hint="default" w:ascii="宋体" w:hAnsi="宋体" w:eastAsia="宋体" w:cs="宋体"/>
          <w:b/>
          <w:bCs/>
          <w:color w:val="auto"/>
          <w:sz w:val="24"/>
          <w:szCs w:val="24"/>
          <w:highlight w:val="none"/>
          <w:lang w:val="en-US" w:eastAsia="zh-CN"/>
        </w:rPr>
      </w:pPr>
      <w:bookmarkStart w:id="3" w:name="_Toc19226"/>
      <w:r>
        <w:rPr>
          <w:rFonts w:hint="eastAsia" w:ascii="宋体" w:hAnsi="宋体" w:cs="宋体"/>
          <w:b/>
          <w:bCs/>
          <w:color w:val="auto"/>
          <w:sz w:val="24"/>
          <w:szCs w:val="24"/>
          <w:highlight w:val="none"/>
          <w:lang w:val="en-US" w:eastAsia="zh-CN"/>
        </w:rPr>
        <w:t>其他商务需求</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9"/>
        <w:gridCol w:w="830"/>
        <w:gridCol w:w="1339"/>
        <w:gridCol w:w="6590"/>
      </w:tblGrid>
      <w:tr w14:paraId="0117AD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9" w:type="dxa"/>
            <w:noWrap w:val="0"/>
            <w:vAlign w:val="center"/>
          </w:tcPr>
          <w:p w14:paraId="57A59847">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参数性质</w:t>
            </w:r>
          </w:p>
        </w:tc>
        <w:tc>
          <w:tcPr>
            <w:tcW w:w="830" w:type="dxa"/>
            <w:noWrap w:val="0"/>
            <w:vAlign w:val="center"/>
          </w:tcPr>
          <w:p w14:paraId="3994E25A">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编号</w:t>
            </w:r>
          </w:p>
        </w:tc>
        <w:tc>
          <w:tcPr>
            <w:tcW w:w="1339" w:type="dxa"/>
            <w:noWrap w:val="0"/>
            <w:vAlign w:val="center"/>
          </w:tcPr>
          <w:p w14:paraId="273CE982">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内容明细</w:t>
            </w:r>
          </w:p>
        </w:tc>
        <w:tc>
          <w:tcPr>
            <w:tcW w:w="6590" w:type="dxa"/>
            <w:noWrap w:val="0"/>
            <w:vAlign w:val="center"/>
          </w:tcPr>
          <w:p w14:paraId="32F7392F">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内容说明</w:t>
            </w:r>
          </w:p>
        </w:tc>
      </w:tr>
      <w:tr w14:paraId="4C4DCB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9" w:type="dxa"/>
            <w:noWrap w:val="0"/>
            <w:vAlign w:val="center"/>
          </w:tcPr>
          <w:p w14:paraId="6C66B83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p>
        </w:tc>
        <w:tc>
          <w:tcPr>
            <w:tcW w:w="830" w:type="dxa"/>
            <w:noWrap w:val="0"/>
            <w:vAlign w:val="center"/>
          </w:tcPr>
          <w:p w14:paraId="7C05D16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39" w:type="dxa"/>
            <w:noWrap w:val="0"/>
            <w:vAlign w:val="center"/>
          </w:tcPr>
          <w:p w14:paraId="3167646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报价要求</w:t>
            </w:r>
          </w:p>
        </w:tc>
        <w:tc>
          <w:tcPr>
            <w:tcW w:w="6590" w:type="dxa"/>
            <w:noWrap w:val="0"/>
            <w:vAlign w:val="top"/>
          </w:tcPr>
          <w:p w14:paraId="06414773">
            <w:pPr>
              <w:pStyle w:val="15"/>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本项目的报价和结算支付均以人民币为货币单位。</w:t>
            </w:r>
          </w:p>
          <w:p w14:paraId="18C1D7A5">
            <w:pPr>
              <w:pStyle w:val="15"/>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本项目投报总价为总包干报价，本项目的</w:t>
            </w:r>
            <w:r>
              <w:rPr>
                <w:rFonts w:hint="eastAsia" w:ascii="宋体" w:hAnsi="宋体" w:eastAsia="宋体" w:cs="宋体"/>
                <w:color w:val="auto"/>
                <w:sz w:val="21"/>
                <w:szCs w:val="21"/>
                <w:highlight w:val="none"/>
                <w:lang w:val="en-US" w:eastAsia="zh-CN"/>
              </w:rPr>
              <w:t>报价应</w:t>
            </w:r>
            <w:r>
              <w:rPr>
                <w:rFonts w:hint="eastAsia" w:ascii="宋体" w:hAnsi="宋体" w:eastAsia="宋体" w:cs="宋体"/>
                <w:color w:val="auto"/>
                <w:sz w:val="21"/>
                <w:szCs w:val="21"/>
                <w:highlight w:val="none"/>
              </w:rPr>
              <w:t>包含但不限于产品供货、备件备品费、相关附件、专用工具费、材料费、运输费、装卸费、安装费、调试费、</w:t>
            </w:r>
            <w:r>
              <w:rPr>
                <w:rFonts w:hint="eastAsia" w:ascii="宋体" w:hAnsi="宋体" w:eastAsia="宋体" w:cs="宋体"/>
                <w:color w:val="auto"/>
                <w:sz w:val="21"/>
                <w:szCs w:val="21"/>
                <w:highlight w:val="none"/>
                <w:lang w:val="en-US" w:eastAsia="zh-CN"/>
              </w:rPr>
              <w:t>接口费、</w:t>
            </w:r>
            <w:r>
              <w:rPr>
                <w:rFonts w:hint="eastAsia" w:ascii="宋体" w:hAnsi="宋体" w:eastAsia="宋体" w:cs="宋体"/>
                <w:color w:val="auto"/>
                <w:sz w:val="21"/>
                <w:szCs w:val="21"/>
                <w:highlight w:val="none"/>
              </w:rPr>
              <w:t>验收费、保险费、售后服务费、税费、人工费、技术培训服务费、验收要求所需的相关试验及检测费用、质量保证期内的包修包换的费用、合同实施过程中应预见及不可预见费等完成本项目内容所需的一切费用。价格为固定不变价，天数为公历日。</w:t>
            </w:r>
          </w:p>
          <w:p w14:paraId="394158BC">
            <w:pPr>
              <w:pStyle w:val="15"/>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投标人的投标报价应包括单价和总价，总价是对应于采购人本次采购的所有内容所计算的总价，为合同总价；其填报的明细单价则应是投标人对本采购项目所包含的具体的服务进行详细列示的计算单价。投标人应自行增加设备正常、合法、安全运行及使用所必须但招标文件没有包含的所有设备、版权、专利等一切费用。</w:t>
            </w:r>
          </w:p>
          <w:p w14:paraId="487F902E">
            <w:pPr>
              <w:pStyle w:val="15"/>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val="en-US" w:eastAsia="zh-CN"/>
              </w:rPr>
              <w:t>采购包</w:t>
            </w:r>
            <w:r>
              <w:rPr>
                <w:rFonts w:hint="eastAsia" w:ascii="宋体" w:hAnsi="宋体" w:eastAsia="宋体" w:cs="宋体"/>
                <w:color w:val="auto"/>
                <w:sz w:val="21"/>
                <w:szCs w:val="21"/>
                <w:highlight w:val="none"/>
              </w:rPr>
              <w:t>投标总价不得高于人民币</w:t>
            </w:r>
            <w:r>
              <w:rPr>
                <w:rFonts w:hint="eastAsia" w:ascii="宋体" w:hAnsi="宋体" w:eastAsia="宋体" w:cs="宋体"/>
                <w:color w:val="auto"/>
                <w:sz w:val="21"/>
                <w:szCs w:val="21"/>
                <w:highlight w:val="none"/>
              </w:rPr>
              <w:t>9,700,000.00</w:t>
            </w:r>
            <w:r>
              <w:rPr>
                <w:rFonts w:hint="eastAsia" w:ascii="宋体" w:hAnsi="宋体" w:eastAsia="宋体" w:cs="宋体"/>
                <w:color w:val="auto"/>
                <w:sz w:val="21"/>
                <w:szCs w:val="21"/>
                <w:highlight w:val="none"/>
              </w:rPr>
              <w:t>元，否则其投标报价将视为无效。</w:t>
            </w:r>
          </w:p>
          <w:p w14:paraId="238212E7">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1.5 </w:t>
            </w:r>
            <w:r>
              <w:rPr>
                <w:rFonts w:hint="eastAsia" w:ascii="宋体" w:hAnsi="宋体" w:eastAsia="宋体" w:cs="宋体"/>
                <w:color w:val="auto"/>
                <w:sz w:val="21"/>
                <w:szCs w:val="21"/>
                <w:highlight w:val="none"/>
              </w:rPr>
              <w:t>投标人应被认为在填报投标报价之前，已经仔细阅读了本招标文件的所有有关章节以及审查了所有相关资料，已确保本次招标的所有招标范围内的各种价格风险均已包含在投标报价内。开标后，任何因投标人的疏漏而提出的不利于采购人的另行支付与本项目相关的任何费用的申请将不被接受。</w:t>
            </w:r>
          </w:p>
        </w:tc>
      </w:tr>
      <w:tr w14:paraId="20FBBD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9" w:type="dxa"/>
            <w:noWrap w:val="0"/>
            <w:vAlign w:val="center"/>
          </w:tcPr>
          <w:p w14:paraId="0A21D77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p>
        </w:tc>
        <w:tc>
          <w:tcPr>
            <w:tcW w:w="830" w:type="dxa"/>
            <w:noWrap w:val="0"/>
            <w:vAlign w:val="center"/>
          </w:tcPr>
          <w:p w14:paraId="028DB50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39" w:type="dxa"/>
            <w:noWrap w:val="0"/>
            <w:vAlign w:val="center"/>
          </w:tcPr>
          <w:p w14:paraId="161E205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合同设备的包装和运输</w:t>
            </w:r>
          </w:p>
        </w:tc>
        <w:tc>
          <w:tcPr>
            <w:tcW w:w="6590" w:type="dxa"/>
            <w:noWrap w:val="0"/>
            <w:vAlign w:val="top"/>
          </w:tcPr>
          <w:p w14:paraId="65658A7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设备的包装均应有良好的防湿、防锈、防潮、防雨、防腐及防碰撞的措施。凡由于包装不良造成的损失和由此产生的费用均由中标人承担。</w:t>
            </w:r>
            <w:r>
              <w:rPr>
                <w:rFonts w:hint="eastAsia"/>
                <w:color w:val="auto"/>
                <w:highlight w:val="none"/>
              </w:rPr>
              <w:t>如因中标人包装不符合要求导致设备损坏或灭失，中标人应负责免费更换或修复，并承担因此给采购人造成的一切损失。</w:t>
            </w:r>
          </w:p>
          <w:p w14:paraId="782C575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 中标人负责运输及卸车至采购人指定地点。</w:t>
            </w:r>
          </w:p>
        </w:tc>
      </w:tr>
      <w:tr w14:paraId="6A7EF9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37" w:hRule="atLeast"/>
        </w:trPr>
        <w:tc>
          <w:tcPr>
            <w:tcW w:w="749" w:type="dxa"/>
            <w:noWrap w:val="0"/>
            <w:vAlign w:val="center"/>
          </w:tcPr>
          <w:p w14:paraId="435D123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p>
        </w:tc>
        <w:tc>
          <w:tcPr>
            <w:tcW w:w="830" w:type="dxa"/>
            <w:noWrap w:val="0"/>
            <w:vAlign w:val="center"/>
          </w:tcPr>
          <w:p w14:paraId="1D545D3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39" w:type="dxa"/>
            <w:noWrap w:val="0"/>
            <w:vAlign w:val="center"/>
          </w:tcPr>
          <w:p w14:paraId="7C9BD9A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安装与调试</w:t>
            </w:r>
          </w:p>
        </w:tc>
        <w:tc>
          <w:tcPr>
            <w:tcW w:w="6590" w:type="dxa"/>
            <w:noWrap w:val="0"/>
            <w:vAlign w:val="center"/>
          </w:tcPr>
          <w:p w14:paraId="212F58A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3.1 中标人负责本项目合同项下的安装调试。</w:t>
            </w:r>
          </w:p>
          <w:p w14:paraId="4CFE9A2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3.2 中标人应在交货前与采购人确认设备的具体安装位置及安装要求，并按照采购人要求进行安装调试。</w:t>
            </w:r>
          </w:p>
          <w:p w14:paraId="57AFF5B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3.3 中标人必须以符合采购文件要求和响应承诺的前提下，将设备（系统）安装并调试至正常运行的最佳状态且双方均认为满意。</w:t>
            </w:r>
          </w:p>
          <w:p w14:paraId="396CAEC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3.4 中标人安装时须对各安装场地内的其他设备、设施有良好保护措施。</w:t>
            </w:r>
          </w:p>
          <w:p w14:paraId="7628ED7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3.5 设备需具有标准数字接口及提供最新的接口文档，能与采购人相关系统进行数据交互；如相关接口软件需要额外软件密钥或授权才能使用，则设备需附带配备相应的密钥或授权码（如需要指定软件才能对接或者无标准数字化接口需在合同中声明）。</w:t>
            </w:r>
            <w:r>
              <w:rPr>
                <w:rFonts w:hint="eastAsia"/>
                <w:color w:val="auto"/>
                <w:highlight w:val="none"/>
              </w:rPr>
              <w:t>中标人应负责免费提供相应的密钥或授权码，并确保其合法有效。如因密钥或授权码问题导致设备无法正常使用，中标人应承担违约责任，并赔偿采购人因此遭受的全部损失。</w:t>
            </w:r>
          </w:p>
          <w:p w14:paraId="7F63897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3.6 中标人必须向采购人提供本项目合同货物安装所需的材料（如设备调试过程中需要用到的标准品等耗材等）、技术资料以及所需工具。</w:t>
            </w:r>
          </w:p>
          <w:p w14:paraId="5518823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3.7 上述一切费用由中标人负责。</w:t>
            </w:r>
          </w:p>
        </w:tc>
      </w:tr>
      <w:tr w14:paraId="025267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44" w:hRule="atLeast"/>
        </w:trPr>
        <w:tc>
          <w:tcPr>
            <w:tcW w:w="749" w:type="dxa"/>
            <w:noWrap w:val="0"/>
            <w:vAlign w:val="center"/>
          </w:tcPr>
          <w:p w14:paraId="141E93F3">
            <w:pPr>
              <w:spacing w:line="360" w:lineRule="auto"/>
              <w:jc w:val="center"/>
              <w:rPr>
                <w:rFonts w:hint="eastAsia" w:ascii="宋体" w:hAnsi="宋体" w:eastAsia="宋体" w:cs="宋体"/>
                <w:color w:val="auto"/>
                <w:sz w:val="21"/>
                <w:szCs w:val="21"/>
                <w:highlight w:val="none"/>
              </w:rPr>
            </w:pPr>
          </w:p>
        </w:tc>
        <w:tc>
          <w:tcPr>
            <w:tcW w:w="830" w:type="dxa"/>
            <w:noWrap w:val="0"/>
            <w:vAlign w:val="center"/>
          </w:tcPr>
          <w:p w14:paraId="4EA5CA35">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339" w:type="dxa"/>
            <w:noWrap w:val="0"/>
            <w:vAlign w:val="center"/>
          </w:tcPr>
          <w:p w14:paraId="4DFC7EB8">
            <w:pPr>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售后服务</w:t>
            </w:r>
            <w:r>
              <w:rPr>
                <w:rFonts w:hint="eastAsia" w:ascii="宋体" w:hAnsi="宋体" w:eastAsia="宋体" w:cs="宋体"/>
                <w:b/>
                <w:bCs/>
                <w:color w:val="auto"/>
                <w:sz w:val="21"/>
                <w:szCs w:val="21"/>
                <w:highlight w:val="none"/>
                <w:lang w:val="en-US" w:eastAsia="zh-CN"/>
              </w:rPr>
              <w:t>要求</w:t>
            </w:r>
          </w:p>
        </w:tc>
        <w:tc>
          <w:tcPr>
            <w:tcW w:w="6590" w:type="dxa"/>
            <w:noWrap w:val="0"/>
            <w:vAlign w:val="center"/>
          </w:tcPr>
          <w:p w14:paraId="15974DE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.1</w:t>
            </w:r>
            <w:r>
              <w:rPr>
                <w:rFonts w:hint="eastAsia" w:ascii="宋体" w:hAnsi="宋体" w:eastAsia="宋体" w:cs="宋体"/>
                <w:b w:val="0"/>
                <w:bCs w:val="0"/>
                <w:color w:val="auto"/>
                <w:sz w:val="21"/>
                <w:szCs w:val="21"/>
                <w:highlight w:val="none"/>
                <w:lang w:val="en-US" w:eastAsia="zh-CN"/>
              </w:rPr>
              <w:t xml:space="preserve"> 中标人所提供的所有设备提供原厂整机</w:t>
            </w:r>
            <w:r>
              <w:rPr>
                <w:rFonts w:hint="eastAsia" w:ascii="宋体" w:hAnsi="宋体" w:eastAsia="宋体" w:cs="宋体"/>
                <w:b w:val="0"/>
                <w:bCs w:val="0"/>
                <w:color w:val="auto"/>
                <w:sz w:val="21"/>
                <w:szCs w:val="21"/>
                <w:highlight w:val="none"/>
                <w:lang w:eastAsia="zh-CN"/>
              </w:rPr>
              <w:t>质量保证期（简称“质保期”）</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u w:val="single"/>
                <w:lang w:val="en-US" w:eastAsia="zh-CN"/>
              </w:rPr>
              <w:t xml:space="preserve"> 3 </w:t>
            </w:r>
            <w:r>
              <w:rPr>
                <w:rFonts w:hint="eastAsia" w:ascii="宋体" w:hAnsi="宋体" w:eastAsia="宋体" w:cs="宋体"/>
                <w:b w:val="0"/>
                <w:bCs w:val="0"/>
                <w:color w:val="auto"/>
                <w:sz w:val="21"/>
                <w:szCs w:val="21"/>
                <w:highlight w:val="none"/>
                <w:lang w:val="en-US" w:eastAsia="zh-CN"/>
              </w:rPr>
              <w:t>年</w:t>
            </w:r>
            <w:r>
              <w:rPr>
                <w:rFonts w:hint="eastAsia" w:ascii="宋体" w:hAnsi="宋体" w:eastAsia="宋体" w:cs="宋体"/>
                <w:b w:val="0"/>
                <w:bCs w:val="0"/>
                <w:color w:val="auto"/>
                <w:sz w:val="21"/>
                <w:szCs w:val="21"/>
                <w:highlight w:val="none"/>
                <w:lang w:val="en-US" w:eastAsia="zh-CN"/>
              </w:rPr>
              <w:t>，质保期自采购人与中标人双方代表在设备验收单上签字之日起计算。</w:t>
            </w:r>
            <w:r>
              <w:rPr>
                <w:rFonts w:hint="eastAsia"/>
                <w:color w:val="auto"/>
                <w:highlight w:val="none"/>
              </w:rPr>
              <w:t>质保期内，中标人应提供免费的维修、更换服务，确保设备正常运行。如中标人未能及时履行质保义务，采购人有权自行维修或委托第三方维修，相关费用由中标人承担。</w:t>
            </w:r>
            <w:r>
              <w:rPr>
                <w:rFonts w:hint="eastAsia" w:ascii="宋体" w:hAnsi="宋体" w:eastAsia="宋体" w:cs="宋体"/>
                <w:color w:val="auto"/>
                <w:highlight w:val="none"/>
              </w:rPr>
              <w:t>若逾期 15 日以上仍未进行维修或更换，或者维修后仍存在质量问题，设备无法正常运行，</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有权终止合同，由此造成</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的经济损失由</w:t>
            </w:r>
            <w:r>
              <w:rPr>
                <w:rFonts w:hint="eastAsia" w:ascii="宋体" w:hAnsi="宋体" w:eastAsia="宋体" w:cs="宋体"/>
                <w:color w:val="auto"/>
                <w:highlight w:val="none"/>
                <w:lang w:val="en-US" w:eastAsia="zh-CN"/>
              </w:rPr>
              <w:t>中标人</w:t>
            </w:r>
            <w:r>
              <w:rPr>
                <w:rFonts w:hint="eastAsia" w:ascii="宋体" w:hAnsi="宋体" w:eastAsia="宋体" w:cs="宋体"/>
                <w:color w:val="auto"/>
                <w:highlight w:val="none"/>
              </w:rPr>
              <w:t>承担，违约金不足以弥补损失的，</w:t>
            </w:r>
            <w:r>
              <w:rPr>
                <w:rFonts w:hint="eastAsia" w:ascii="宋体" w:hAnsi="宋体" w:eastAsia="宋体" w:cs="宋体"/>
                <w:color w:val="auto"/>
                <w:highlight w:val="none"/>
                <w:lang w:val="en-US" w:eastAsia="zh-CN"/>
              </w:rPr>
              <w:t>中标人</w:t>
            </w:r>
            <w:r>
              <w:rPr>
                <w:rFonts w:hint="eastAsia" w:ascii="宋体" w:hAnsi="宋体" w:eastAsia="宋体" w:cs="宋体"/>
                <w:color w:val="auto"/>
                <w:highlight w:val="none"/>
              </w:rPr>
              <w:t>应按全额赔偿。</w:t>
            </w:r>
          </w:p>
          <w:p w14:paraId="7268D2F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lang w:val="en-US" w:eastAsia="zh-CN"/>
              </w:rPr>
              <w:t>4.2 质保期内中标人对所供货物实行包修、包换、包退、包维护保养，质保期内采购人对中标人享有追索权。</w:t>
            </w:r>
          </w:p>
          <w:p w14:paraId="5FFA514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lang w:val="en-US" w:eastAsia="zh-CN"/>
              </w:rPr>
              <w:t>4.3 质保期内，如设备或零部件非人为因素出现故障而造成短期停用时，则质保期和免费维修期相应顺延。如货物因自身故障致停用时间累计超过5天时，则质保期在状态恢复正常时归零重新计算或对故障设备予以重新更换。</w:t>
            </w:r>
            <w:r>
              <w:rPr>
                <w:rFonts w:hint="eastAsia" w:ascii="宋体" w:hAnsi="宋体" w:eastAsia="宋体" w:cs="宋体"/>
                <w:color w:val="auto"/>
                <w:highlight w:val="none"/>
              </w:rPr>
              <w:t>如设备因自身故障导致停用时间累计超过14天，中标人应向采购人支付合同总金额的3%作为违约金，并负责对设备进行免费更换或修复，确保设备正常运行。</w:t>
            </w:r>
          </w:p>
          <w:p w14:paraId="5571EF8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lang w:val="en-US" w:eastAsia="zh-CN"/>
              </w:rPr>
              <w:t>4.4 质保期内提供周期上门免费服务：中标人须在设备验收后，每三个月例行上门检测设备运行状态并提交检测报告。</w:t>
            </w:r>
          </w:p>
          <w:p w14:paraId="2D361F7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lang w:val="en-US" w:eastAsia="zh-CN"/>
              </w:rPr>
              <w:t>4.5 中标人负责向采购人提供现场安全操作及必要的维护保养培训。</w:t>
            </w:r>
          </w:p>
          <w:p w14:paraId="6BBF727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lang w:val="en-US" w:eastAsia="zh-CN"/>
              </w:rPr>
              <w:t>4.6 中标人或原厂售后服务商（以下统称“售后服务机构”）提供长期稳定可靠的售后服务。有固定售后服务点，并提供常设服务专线和长期的技术支持，需提供固定售后服务点的详细资料。负责本项目合同设备软件终身维护和升级，由此产生的费用均由中标人负担。设备故障报修响应时间为：省内有售后服务人员，提供24小时的热线支持，在设备发生故障时，技术人员应 4 小时内到达现场解决故障。</w:t>
            </w:r>
          </w:p>
          <w:p w14:paraId="1B12D2C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lang w:val="en-US" w:eastAsia="zh-CN"/>
              </w:rPr>
              <w:t>4.7 若主要设备的故障在24小时内仍未处理完毕，中标人必须免费提供相同或以上档次的设备予采购人临时使用或采取应急措施解决，不得影响采购人的正常工作业务。</w:t>
            </w:r>
          </w:p>
          <w:p w14:paraId="3E419F4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lang w:val="en-US" w:eastAsia="zh-CN"/>
              </w:rPr>
              <w:t>4.8 质保期内，所有设备维修均为上门服务，即由中标人派人员到采购人设备使用现场维修，由此产生的费用均由中标人负担。</w:t>
            </w:r>
          </w:p>
          <w:p w14:paraId="0F551AD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lang w:val="en-US" w:eastAsia="zh-CN"/>
              </w:rPr>
              <w:t>4.9 所提供系统和设备，在今后利用新技术方面有任何性能或功能的改进以及产品革新，中标人需及时书面通知采购人其改进和详细情况。中标人需要提供自己的售后技术中心或售后服务合作伙伴的详细资料。</w:t>
            </w:r>
          </w:p>
          <w:p w14:paraId="58DAC4C1">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★4.10 质保期满后，中标人应保证以最优惠的价格提供备件和保养服务。</w:t>
            </w:r>
          </w:p>
          <w:p w14:paraId="6842127D">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4.11 质保期满后，中标人继续提供维修服务，当发生故障时，中标人应按不低于质保期内的要求进行维修处理，维修中只收零件费。</w:t>
            </w:r>
          </w:p>
          <w:p w14:paraId="6DA196A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lang w:val="en-US" w:eastAsia="zh-CN"/>
              </w:rPr>
              <w:t>4.12 技术培训：为保证设备正常工作，中标人应负责培训采购人维护人员，使维护工作人员能完全熟悉并掌握软硬件维护技能，及时排除一般的设备故障。培训内容包括以下几个方面：</w:t>
            </w:r>
          </w:p>
          <w:p w14:paraId="6AD85E7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（1）为维护及安装工作所必须的相关文件的讲解 。</w:t>
            </w:r>
          </w:p>
          <w:p w14:paraId="7F0D3C3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（2）设备的安装和测试 。</w:t>
            </w:r>
          </w:p>
          <w:p w14:paraId="049BAE3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（3）设备的操作和维护 。</w:t>
            </w:r>
          </w:p>
          <w:p w14:paraId="404BEEE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（4）硬件电路结构和原理 。</w:t>
            </w:r>
          </w:p>
          <w:p w14:paraId="430DB5A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（5）设备结构 。</w:t>
            </w:r>
          </w:p>
          <w:p w14:paraId="6C0423D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（6）采购人需改进所供系统的执行情况和可靠性时，中标人应提供服务，所需费用已含在本项目合同价中。</w:t>
            </w:r>
          </w:p>
        </w:tc>
      </w:tr>
      <w:tr w14:paraId="6CF2F9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749" w:type="dxa"/>
            <w:noWrap w:val="0"/>
            <w:vAlign w:val="center"/>
          </w:tcPr>
          <w:p w14:paraId="667E291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p>
        </w:tc>
        <w:tc>
          <w:tcPr>
            <w:tcW w:w="830" w:type="dxa"/>
            <w:noWrap w:val="0"/>
            <w:vAlign w:val="center"/>
          </w:tcPr>
          <w:p w14:paraId="39CC6BE0">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339" w:type="dxa"/>
            <w:noWrap w:val="0"/>
            <w:vAlign w:val="center"/>
          </w:tcPr>
          <w:p w14:paraId="5D0DBFD6">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知识产权和保密要求</w:t>
            </w:r>
          </w:p>
        </w:tc>
        <w:tc>
          <w:tcPr>
            <w:tcW w:w="6590" w:type="dxa"/>
            <w:noWrap w:val="0"/>
            <w:vAlign w:val="center"/>
          </w:tcPr>
          <w:p w14:paraId="19BA7E2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b w:val="0"/>
                <w:bCs w:val="0"/>
                <w:color w:val="auto"/>
                <w:sz w:val="21"/>
                <w:szCs w:val="21"/>
                <w:highlight w:val="none"/>
                <w:lang w:val="en-US" w:eastAsia="zh-CN"/>
              </w:rPr>
              <w:t>5.1 依据相关法律法规规定，</w:t>
            </w:r>
            <w:r>
              <w:rPr>
                <w:rFonts w:hint="eastAsia" w:ascii="宋体" w:hAnsi="宋体" w:eastAsia="宋体" w:cs="宋体"/>
                <w:color w:val="auto"/>
                <w:highlight w:val="none"/>
              </w:rPr>
              <w:t>中标人应保证所提供的设备、技术、软件等不侵犯任何第三方的知识产权或其他合法权益。如因中标人提供的设备、技术、软件等引发知识产权纠纷或其他法律纠纷，中标人应负责解决，并承担因此给采购人造成的一切损失，包括但不限于采购人由此产生的诉讼费、保全费、担保费、鉴定费、律师费等一切维权成本。</w:t>
            </w:r>
          </w:p>
          <w:p w14:paraId="2A2D23F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highlight w:val="none"/>
                <w:lang w:val="en-US" w:eastAsia="zh-CN"/>
              </w:rPr>
              <w:t>5.2</w:t>
            </w:r>
            <w:r>
              <w:rPr>
                <w:rFonts w:hint="eastAsia" w:ascii="宋体" w:hAnsi="宋体" w:eastAsia="宋体" w:cs="宋体"/>
                <w:b w:val="0"/>
                <w:bCs w:val="0"/>
                <w:color w:val="auto"/>
                <w:sz w:val="21"/>
                <w:szCs w:val="21"/>
                <w:highlight w:val="none"/>
                <w:lang w:val="en-US" w:eastAsia="zh-CN"/>
              </w:rPr>
              <w:t>采购人与中标人应相互尊重双方及第三方的知识产权、数据信息所有权等权利，双方均对本项目所涉及的知识产权、数据信息有保密义务，不得向任何第三方泄漏各自从合作方获得的数据、信息等资料。双方均享有因数据、信息泄露给对方造成损失时，获得赔偿的权利。5.3中标人及其工作人员不得将从患者信息数据库中得到的信息用于采购人之外的第三方，给采购人或患者（及其家属）造成任何损失或伤害，中标人应承担相应的民事责任，同时采购人有权进一步追究中标人责任的权利。</w:t>
            </w:r>
          </w:p>
        </w:tc>
      </w:tr>
      <w:tr w14:paraId="0519A0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0" w:hRule="atLeast"/>
        </w:trPr>
        <w:tc>
          <w:tcPr>
            <w:tcW w:w="749" w:type="dxa"/>
            <w:noWrap w:val="0"/>
            <w:vAlign w:val="center"/>
          </w:tcPr>
          <w:p w14:paraId="594BDBD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p>
        </w:tc>
        <w:tc>
          <w:tcPr>
            <w:tcW w:w="830" w:type="dxa"/>
            <w:noWrap w:val="0"/>
            <w:vAlign w:val="center"/>
          </w:tcPr>
          <w:p w14:paraId="2D036AEA">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339" w:type="dxa"/>
            <w:noWrap w:val="0"/>
            <w:vAlign w:val="center"/>
          </w:tcPr>
          <w:p w14:paraId="1E2F24E6">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违约责任</w:t>
            </w:r>
          </w:p>
        </w:tc>
        <w:tc>
          <w:tcPr>
            <w:tcW w:w="6590" w:type="dxa"/>
            <w:noWrap w:val="0"/>
            <w:vAlign w:val="center"/>
          </w:tcPr>
          <w:p w14:paraId="21BDC47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6.1 中标人未按要求履行合同义务，须从违约之日起每日按合同总额的 3‰ 比例向采购人支付违约金；逾期 15 日以上，采购人有权终止合同，由此造成采购人的经济损失由中标人承担。违约金不足以弥补损失的，中标人应按全额赔偿。</w:t>
            </w:r>
          </w:p>
          <w:p w14:paraId="10E5E29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6.2 如因中标人原因导致逾期交货，每逾期一天，中标人应向采购人支付合同总金额的2‱ 作为违约金，逾期超过15日，采购人有权解除合同，并要求中标人赔偿因此给采购人造成的全部损失，包括但不限于诉讼费、保全费、担保费、鉴定费、律师费等维权成本由中标人负担。</w:t>
            </w:r>
          </w:p>
          <w:p w14:paraId="0FAD097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6.3.采购人未按要求履行合同义务，或无故拖延验收，采购人须向中标人支付滞纳金，标准为每日按逾期应付款总额的 1‱  计算，但累计总额不超过逾期应付款的1%。</w:t>
            </w:r>
          </w:p>
          <w:p w14:paraId="52969B2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6.4 </w:t>
            </w:r>
            <w:r>
              <w:rPr>
                <w:rFonts w:hint="eastAsia" w:ascii="宋体" w:hAnsi="宋体" w:eastAsia="宋体" w:cs="宋体"/>
                <w:b w:val="0"/>
                <w:bCs w:val="0"/>
                <w:color w:val="auto"/>
                <w:sz w:val="21"/>
                <w:szCs w:val="21"/>
                <w:highlight w:val="none"/>
                <w:lang w:eastAsia="zh-CN"/>
              </w:rPr>
              <w:t>其他违约责任按《中华人民共和国民法典》处理。</w:t>
            </w:r>
          </w:p>
        </w:tc>
      </w:tr>
      <w:tr w14:paraId="386636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35" w:hRule="atLeast"/>
        </w:trPr>
        <w:tc>
          <w:tcPr>
            <w:tcW w:w="749" w:type="dxa"/>
            <w:noWrap w:val="0"/>
            <w:vAlign w:val="center"/>
          </w:tcPr>
          <w:p w14:paraId="6530128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p>
        </w:tc>
        <w:tc>
          <w:tcPr>
            <w:tcW w:w="830" w:type="dxa"/>
            <w:noWrap w:val="0"/>
            <w:vAlign w:val="center"/>
          </w:tcPr>
          <w:p w14:paraId="4B4009D7">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339" w:type="dxa"/>
            <w:noWrap w:val="0"/>
            <w:vAlign w:val="center"/>
          </w:tcPr>
          <w:p w14:paraId="361184D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提出异议的时间和方法</w:t>
            </w:r>
          </w:p>
        </w:tc>
        <w:tc>
          <w:tcPr>
            <w:tcW w:w="6590" w:type="dxa"/>
            <w:noWrap w:val="0"/>
            <w:vAlign w:val="center"/>
          </w:tcPr>
          <w:p w14:paraId="4CCBAFB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7.1 </w:t>
            </w:r>
            <w:r>
              <w:rPr>
                <w:rFonts w:hint="eastAsia" w:ascii="宋体" w:hAnsi="宋体" w:eastAsia="宋体" w:cs="宋体"/>
                <w:b w:val="0"/>
                <w:bCs w:val="0"/>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在验收后 30 天内如对货物的型号、规格、质量有异议时，应在妥善保管货物的同时，即向</w:t>
            </w:r>
            <w:r>
              <w:rPr>
                <w:rFonts w:hint="eastAsia" w:ascii="宋体" w:hAnsi="宋体" w:eastAsia="宋体" w:cs="宋体"/>
                <w:b w:val="0"/>
                <w:bCs w:val="0"/>
                <w:color w:val="auto"/>
                <w:sz w:val="21"/>
                <w:szCs w:val="21"/>
                <w:highlight w:val="none"/>
                <w:lang w:val="en-US" w:eastAsia="zh-CN"/>
              </w:rPr>
              <w:t>中标人</w:t>
            </w:r>
            <w:r>
              <w:rPr>
                <w:rFonts w:hint="eastAsia" w:ascii="宋体" w:hAnsi="宋体" w:eastAsia="宋体" w:cs="宋体"/>
                <w:color w:val="auto"/>
                <w:sz w:val="21"/>
                <w:szCs w:val="21"/>
                <w:highlight w:val="none"/>
                <w:lang w:val="en-US" w:eastAsia="zh-CN"/>
              </w:rPr>
              <w:t>提出书面异议。</w:t>
            </w:r>
          </w:p>
          <w:p w14:paraId="01F5645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7.2 </w:t>
            </w:r>
            <w:r>
              <w:rPr>
                <w:rFonts w:hint="eastAsia" w:ascii="宋体" w:hAnsi="宋体" w:eastAsia="宋体" w:cs="宋体"/>
                <w:b w:val="0"/>
                <w:bCs w:val="0"/>
                <w:color w:val="auto"/>
                <w:sz w:val="21"/>
                <w:szCs w:val="21"/>
                <w:highlight w:val="none"/>
                <w:lang w:val="en-US" w:eastAsia="zh-CN"/>
              </w:rPr>
              <w:t>中标人</w:t>
            </w:r>
            <w:r>
              <w:rPr>
                <w:rFonts w:hint="eastAsia" w:ascii="宋体" w:hAnsi="宋体" w:eastAsia="宋体" w:cs="宋体"/>
                <w:color w:val="auto"/>
                <w:sz w:val="21"/>
                <w:szCs w:val="21"/>
                <w:highlight w:val="none"/>
                <w:lang w:val="en-US" w:eastAsia="zh-CN"/>
              </w:rPr>
              <w:t>在接到</w:t>
            </w:r>
            <w:r>
              <w:rPr>
                <w:rFonts w:hint="eastAsia" w:ascii="宋体" w:hAnsi="宋体" w:eastAsia="宋体" w:cs="宋体"/>
                <w:b w:val="0"/>
                <w:bCs w:val="0"/>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书面异议后，应在3天内负责处理并函复</w:t>
            </w:r>
            <w:r>
              <w:rPr>
                <w:rFonts w:hint="eastAsia" w:ascii="宋体" w:hAnsi="宋体" w:eastAsia="宋体" w:cs="宋体"/>
                <w:b w:val="0"/>
                <w:bCs w:val="0"/>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处理情况，否则，即视为默认</w:t>
            </w:r>
            <w:r>
              <w:rPr>
                <w:rFonts w:hint="eastAsia" w:ascii="宋体" w:hAnsi="宋体" w:eastAsia="宋体" w:cs="宋体"/>
                <w:b w:val="0"/>
                <w:bCs w:val="0"/>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提出的异议和处理意见。</w:t>
            </w:r>
          </w:p>
          <w:p w14:paraId="15AD939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7.3 </w:t>
            </w:r>
            <w:r>
              <w:rPr>
                <w:rFonts w:hint="eastAsia" w:ascii="宋体" w:hAnsi="宋体" w:eastAsia="宋体" w:cs="宋体"/>
                <w:b w:val="0"/>
                <w:bCs w:val="0"/>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因违章操作、保管、保养不善等人为造成货物损毁，所提出的异议</w:t>
            </w:r>
            <w:r>
              <w:rPr>
                <w:rFonts w:hint="eastAsia" w:ascii="宋体" w:hAnsi="宋体" w:eastAsia="宋体" w:cs="宋体"/>
                <w:b w:val="0"/>
                <w:bCs w:val="0"/>
                <w:color w:val="auto"/>
                <w:sz w:val="21"/>
                <w:szCs w:val="21"/>
                <w:highlight w:val="none"/>
                <w:lang w:val="en-US" w:eastAsia="zh-CN"/>
              </w:rPr>
              <w:t>中标人</w:t>
            </w:r>
            <w:r>
              <w:rPr>
                <w:rFonts w:hint="eastAsia" w:ascii="宋体" w:hAnsi="宋体" w:eastAsia="宋体" w:cs="宋体"/>
                <w:color w:val="auto"/>
                <w:sz w:val="21"/>
                <w:szCs w:val="21"/>
                <w:highlight w:val="none"/>
                <w:lang w:val="en-US" w:eastAsia="zh-CN"/>
              </w:rPr>
              <w:t>有权不予接受。</w:t>
            </w:r>
          </w:p>
          <w:p w14:paraId="4195489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7.4 </w:t>
            </w:r>
            <w:r>
              <w:rPr>
                <w:rFonts w:hint="eastAsia" w:ascii="宋体" w:hAnsi="宋体" w:eastAsia="宋体" w:cs="宋体"/>
                <w:b w:val="0"/>
                <w:bCs w:val="0"/>
                <w:color w:val="auto"/>
                <w:sz w:val="21"/>
                <w:szCs w:val="21"/>
                <w:highlight w:val="none"/>
                <w:lang w:val="en-US" w:eastAsia="zh-CN"/>
              </w:rPr>
              <w:t>中标人</w:t>
            </w:r>
            <w:r>
              <w:rPr>
                <w:rFonts w:hint="eastAsia" w:ascii="宋体" w:hAnsi="宋体" w:eastAsia="宋体" w:cs="宋体"/>
                <w:color w:val="auto"/>
                <w:sz w:val="21"/>
                <w:szCs w:val="21"/>
                <w:highlight w:val="none"/>
                <w:lang w:val="en-US" w:eastAsia="zh-CN"/>
              </w:rPr>
              <w:t>利用专业技术和行业信息优势之便，以不道德的手段，故意隐瞒和掩盖自身缔约过失，违背投标（响应）承诺和未尽义务，损害了</w:t>
            </w:r>
            <w:r>
              <w:rPr>
                <w:rFonts w:hint="eastAsia" w:ascii="宋体" w:hAnsi="宋体" w:eastAsia="宋体" w:cs="宋体"/>
                <w:b w:val="0"/>
                <w:bCs w:val="0"/>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的合法权益，</w:t>
            </w:r>
            <w:r>
              <w:rPr>
                <w:rFonts w:hint="eastAsia" w:ascii="宋体" w:hAnsi="宋体" w:eastAsia="宋体" w:cs="宋体"/>
                <w:b w:val="0"/>
                <w:bCs w:val="0"/>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在任何时候均可追究</w:t>
            </w:r>
            <w:r>
              <w:rPr>
                <w:rFonts w:hint="eastAsia" w:ascii="宋体" w:hAnsi="宋体" w:eastAsia="宋体" w:cs="宋体"/>
                <w:b w:val="0"/>
                <w:bCs w:val="0"/>
                <w:color w:val="auto"/>
                <w:sz w:val="21"/>
                <w:szCs w:val="21"/>
                <w:highlight w:val="none"/>
                <w:lang w:val="en-US" w:eastAsia="zh-CN"/>
              </w:rPr>
              <w:t>中标人</w:t>
            </w:r>
            <w:r>
              <w:rPr>
                <w:rFonts w:hint="eastAsia" w:ascii="宋体" w:hAnsi="宋体" w:eastAsia="宋体" w:cs="宋体"/>
                <w:color w:val="auto"/>
                <w:sz w:val="21"/>
                <w:szCs w:val="21"/>
                <w:highlight w:val="none"/>
                <w:lang w:val="en-US" w:eastAsia="zh-CN"/>
              </w:rPr>
              <w:t>的违约责任并索取赔偿，且不受验收程序、质保期和合同时效的限制。</w:t>
            </w:r>
          </w:p>
        </w:tc>
      </w:tr>
      <w:tr w14:paraId="368BE4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44" w:hRule="atLeast"/>
        </w:trPr>
        <w:tc>
          <w:tcPr>
            <w:tcW w:w="749" w:type="dxa"/>
            <w:noWrap w:val="0"/>
            <w:vAlign w:val="center"/>
          </w:tcPr>
          <w:p w14:paraId="3B9FFB9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p>
        </w:tc>
        <w:tc>
          <w:tcPr>
            <w:tcW w:w="830" w:type="dxa"/>
            <w:noWrap w:val="0"/>
            <w:vAlign w:val="center"/>
          </w:tcPr>
          <w:p w14:paraId="731B638D">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339" w:type="dxa"/>
            <w:noWrap w:val="0"/>
            <w:vAlign w:val="center"/>
          </w:tcPr>
          <w:p w14:paraId="7647D84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中标人应提供的资料内容</w:t>
            </w:r>
          </w:p>
        </w:tc>
        <w:tc>
          <w:tcPr>
            <w:tcW w:w="6590" w:type="dxa"/>
            <w:noWrap w:val="0"/>
            <w:vAlign w:val="center"/>
          </w:tcPr>
          <w:p w14:paraId="461B081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8.1 </w:t>
            </w:r>
            <w:r>
              <w:rPr>
                <w:rFonts w:hint="eastAsia" w:ascii="宋体" w:hAnsi="宋体" w:eastAsia="宋体" w:cs="宋体"/>
                <w:color w:val="auto"/>
                <w:sz w:val="21"/>
                <w:szCs w:val="21"/>
                <w:highlight w:val="none"/>
              </w:rPr>
              <w:t>中国境内制造的产品必须提供出厂合格证，并提供采购人名下终端客户保修注册资料。</w:t>
            </w:r>
          </w:p>
          <w:p w14:paraId="39273BD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8.2 </w:t>
            </w:r>
            <w:r>
              <w:rPr>
                <w:rFonts w:hint="eastAsia" w:ascii="宋体" w:hAnsi="宋体" w:eastAsia="宋体" w:cs="宋体"/>
                <w:color w:val="auto"/>
                <w:sz w:val="21"/>
                <w:szCs w:val="21"/>
                <w:highlight w:val="none"/>
              </w:rPr>
              <w:t>关键产品/主机设备的用户手册、保修手册、</w:t>
            </w:r>
            <w:r>
              <w:rPr>
                <w:rFonts w:hint="eastAsia" w:ascii="宋体" w:hAnsi="宋体" w:eastAsia="宋体" w:cs="宋体"/>
                <w:color w:val="auto"/>
                <w:sz w:val="21"/>
                <w:szCs w:val="21"/>
                <w:highlight w:val="none"/>
                <w:lang w:eastAsia="zh-CN"/>
              </w:rPr>
              <w:t>维修手册、</w:t>
            </w:r>
            <w:r>
              <w:rPr>
                <w:rFonts w:hint="eastAsia" w:ascii="宋体" w:hAnsi="宋体" w:eastAsia="宋体" w:cs="宋体"/>
                <w:color w:val="auto"/>
                <w:sz w:val="21"/>
                <w:szCs w:val="21"/>
                <w:highlight w:val="none"/>
              </w:rPr>
              <w:t>有关单证资料及配备件、随机工具等，使用操作及安全须知等重要资料应附有</w:t>
            </w:r>
            <w:r>
              <w:rPr>
                <w:rFonts w:hint="eastAsia" w:ascii="宋体" w:hAnsi="宋体" w:eastAsia="宋体" w:cs="宋体"/>
                <w:color w:val="auto"/>
                <w:sz w:val="21"/>
                <w:szCs w:val="21"/>
                <w:highlight w:val="none"/>
                <w:lang w:val="en-US" w:eastAsia="zh-CN"/>
              </w:rPr>
              <w:t>原厂及</w:t>
            </w:r>
            <w:r>
              <w:rPr>
                <w:rFonts w:hint="eastAsia" w:ascii="宋体" w:hAnsi="宋体" w:eastAsia="宋体" w:cs="宋体"/>
                <w:color w:val="auto"/>
                <w:sz w:val="21"/>
                <w:szCs w:val="21"/>
                <w:highlight w:val="none"/>
              </w:rPr>
              <w:t>中文说明。</w:t>
            </w:r>
          </w:p>
        </w:tc>
      </w:tr>
    </w:tbl>
    <w:p w14:paraId="7E00224F">
      <w:pPr>
        <w:keepNext/>
        <w:keepLines/>
        <w:adjustRightInd w:val="0"/>
        <w:spacing w:beforeLines="50" w:afterLines="50" w:line="360" w:lineRule="auto"/>
        <w:textAlignment w:val="baseline"/>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2.技术标准与要求</w:t>
      </w:r>
      <w:bookmarkEnd w:id="3"/>
    </w:p>
    <w:tbl>
      <w:tblPr>
        <w:tblStyle w:val="12"/>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693"/>
        <w:gridCol w:w="1330"/>
        <w:gridCol w:w="1001"/>
        <w:gridCol w:w="542"/>
        <w:gridCol w:w="491"/>
        <w:gridCol w:w="1568"/>
        <w:gridCol w:w="1589"/>
        <w:gridCol w:w="634"/>
        <w:gridCol w:w="682"/>
      </w:tblGrid>
      <w:tr w14:paraId="4F08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534" w:type="dxa"/>
            <w:shd w:val="clear" w:color="auto" w:fill="EEECE1"/>
            <w:noWrap w:val="0"/>
            <w:vAlign w:val="center"/>
          </w:tcPr>
          <w:p w14:paraId="0B8E07DD">
            <w:pPr>
              <w:keepNext/>
              <w:keepLines/>
              <w:adjustRightInd w:val="0"/>
              <w:spacing w:line="360" w:lineRule="auto"/>
              <w:jc w:val="center"/>
              <w:textAlignment w:val="baseline"/>
              <w:outlineLvl w:val="1"/>
              <w:rPr>
                <w:rFonts w:hint="eastAsia" w:ascii="宋体" w:hAnsi="宋体" w:eastAsia="宋体" w:cs="宋体"/>
                <w:b/>
                <w:color w:val="auto"/>
                <w:kern w:val="0"/>
                <w:szCs w:val="21"/>
                <w:highlight w:val="none"/>
              </w:rPr>
            </w:pPr>
            <w:bookmarkStart w:id="4" w:name="_Toc22192"/>
            <w:r>
              <w:rPr>
                <w:rFonts w:hint="eastAsia" w:ascii="宋体" w:hAnsi="宋体" w:eastAsia="宋体" w:cs="宋体"/>
                <w:b/>
                <w:color w:val="auto"/>
                <w:kern w:val="0"/>
                <w:szCs w:val="21"/>
                <w:highlight w:val="none"/>
              </w:rPr>
              <w:t>序号</w:t>
            </w:r>
            <w:bookmarkEnd w:id="4"/>
          </w:p>
        </w:tc>
        <w:tc>
          <w:tcPr>
            <w:tcW w:w="693" w:type="dxa"/>
            <w:shd w:val="clear" w:color="auto" w:fill="EEECE1"/>
            <w:noWrap w:val="0"/>
            <w:vAlign w:val="center"/>
          </w:tcPr>
          <w:p w14:paraId="4E744DAC">
            <w:pPr>
              <w:keepNext/>
              <w:keepLines/>
              <w:adjustRightInd w:val="0"/>
              <w:spacing w:line="360" w:lineRule="auto"/>
              <w:jc w:val="center"/>
              <w:textAlignment w:val="baseline"/>
              <w:outlineLvl w:val="1"/>
              <w:rPr>
                <w:rFonts w:hint="eastAsia" w:ascii="宋体" w:hAnsi="宋体" w:eastAsia="宋体" w:cs="宋体"/>
                <w:b/>
                <w:color w:val="auto"/>
                <w:kern w:val="0"/>
                <w:szCs w:val="21"/>
                <w:highlight w:val="none"/>
              </w:rPr>
            </w:pPr>
            <w:bookmarkStart w:id="5" w:name="_Toc28650"/>
            <w:r>
              <w:rPr>
                <w:rFonts w:hint="eastAsia" w:ascii="宋体" w:hAnsi="宋体" w:eastAsia="宋体" w:cs="宋体"/>
                <w:b/>
                <w:color w:val="auto"/>
                <w:kern w:val="0"/>
                <w:szCs w:val="21"/>
                <w:highlight w:val="none"/>
              </w:rPr>
              <w:t>核心产品（“△”）</w:t>
            </w:r>
            <w:bookmarkEnd w:id="5"/>
          </w:p>
        </w:tc>
        <w:tc>
          <w:tcPr>
            <w:tcW w:w="1330" w:type="dxa"/>
            <w:shd w:val="clear" w:color="auto" w:fill="EEECE1"/>
            <w:noWrap w:val="0"/>
            <w:vAlign w:val="center"/>
          </w:tcPr>
          <w:p w14:paraId="58FB10E9">
            <w:pPr>
              <w:keepNext/>
              <w:keepLines/>
              <w:adjustRightInd w:val="0"/>
              <w:spacing w:line="360" w:lineRule="auto"/>
              <w:jc w:val="center"/>
              <w:textAlignment w:val="baseline"/>
              <w:outlineLvl w:val="1"/>
              <w:rPr>
                <w:rFonts w:hint="eastAsia" w:ascii="宋体" w:hAnsi="宋体" w:eastAsia="宋体" w:cs="宋体"/>
                <w:b/>
                <w:color w:val="auto"/>
                <w:kern w:val="0"/>
                <w:szCs w:val="21"/>
                <w:highlight w:val="none"/>
              </w:rPr>
            </w:pPr>
            <w:bookmarkStart w:id="6" w:name="_Toc9916"/>
            <w:r>
              <w:rPr>
                <w:rFonts w:hint="eastAsia" w:ascii="宋体" w:hAnsi="宋体" w:eastAsia="宋体" w:cs="宋体"/>
                <w:b/>
                <w:color w:val="auto"/>
                <w:kern w:val="0"/>
                <w:szCs w:val="21"/>
                <w:highlight w:val="none"/>
              </w:rPr>
              <w:t>品目名称</w:t>
            </w:r>
            <w:bookmarkEnd w:id="6"/>
          </w:p>
        </w:tc>
        <w:tc>
          <w:tcPr>
            <w:tcW w:w="1001" w:type="dxa"/>
            <w:shd w:val="clear" w:color="auto" w:fill="EEECE1"/>
            <w:noWrap w:val="0"/>
            <w:vAlign w:val="center"/>
          </w:tcPr>
          <w:p w14:paraId="7AA63756">
            <w:pPr>
              <w:keepNext/>
              <w:keepLines/>
              <w:adjustRightInd w:val="0"/>
              <w:spacing w:line="360" w:lineRule="auto"/>
              <w:jc w:val="center"/>
              <w:textAlignment w:val="baseline"/>
              <w:outlineLvl w:val="1"/>
              <w:rPr>
                <w:rFonts w:hint="eastAsia" w:ascii="宋体" w:hAnsi="宋体" w:eastAsia="宋体" w:cs="宋体"/>
                <w:b/>
                <w:color w:val="auto"/>
                <w:kern w:val="0"/>
                <w:szCs w:val="21"/>
                <w:highlight w:val="none"/>
              </w:rPr>
            </w:pPr>
            <w:bookmarkStart w:id="7" w:name="_Toc6008"/>
            <w:r>
              <w:rPr>
                <w:rFonts w:hint="eastAsia" w:ascii="宋体" w:hAnsi="宋体" w:eastAsia="宋体" w:cs="宋体"/>
                <w:b/>
                <w:color w:val="auto"/>
                <w:kern w:val="0"/>
                <w:szCs w:val="21"/>
                <w:highlight w:val="none"/>
              </w:rPr>
              <w:t>标的名称</w:t>
            </w:r>
            <w:bookmarkEnd w:id="7"/>
          </w:p>
        </w:tc>
        <w:tc>
          <w:tcPr>
            <w:tcW w:w="542" w:type="dxa"/>
            <w:shd w:val="clear" w:color="auto" w:fill="EEECE1"/>
            <w:noWrap w:val="0"/>
            <w:vAlign w:val="center"/>
          </w:tcPr>
          <w:p w14:paraId="4005B53F">
            <w:pPr>
              <w:keepNext/>
              <w:keepLines/>
              <w:adjustRightInd w:val="0"/>
              <w:spacing w:line="360" w:lineRule="auto"/>
              <w:jc w:val="center"/>
              <w:textAlignment w:val="baseline"/>
              <w:outlineLvl w:val="1"/>
              <w:rPr>
                <w:rFonts w:hint="eastAsia" w:ascii="宋体" w:hAnsi="宋体" w:eastAsia="宋体" w:cs="宋体"/>
                <w:b/>
                <w:color w:val="auto"/>
                <w:kern w:val="0"/>
                <w:szCs w:val="21"/>
                <w:highlight w:val="none"/>
              </w:rPr>
            </w:pPr>
            <w:bookmarkStart w:id="8" w:name="_Toc28574"/>
            <w:r>
              <w:rPr>
                <w:rFonts w:hint="eastAsia" w:ascii="宋体" w:hAnsi="宋体" w:eastAsia="宋体" w:cs="宋体"/>
                <w:b/>
                <w:color w:val="auto"/>
                <w:kern w:val="0"/>
                <w:szCs w:val="21"/>
                <w:highlight w:val="none"/>
              </w:rPr>
              <w:t>单位</w:t>
            </w:r>
            <w:bookmarkEnd w:id="8"/>
          </w:p>
        </w:tc>
        <w:tc>
          <w:tcPr>
            <w:tcW w:w="491" w:type="dxa"/>
            <w:shd w:val="clear" w:color="auto" w:fill="EEECE1"/>
            <w:noWrap w:val="0"/>
            <w:vAlign w:val="center"/>
          </w:tcPr>
          <w:p w14:paraId="727A3EB6">
            <w:pPr>
              <w:keepNext/>
              <w:keepLines/>
              <w:adjustRightInd w:val="0"/>
              <w:spacing w:line="360" w:lineRule="auto"/>
              <w:jc w:val="center"/>
              <w:textAlignment w:val="baseline"/>
              <w:outlineLvl w:val="1"/>
              <w:rPr>
                <w:rFonts w:hint="eastAsia" w:ascii="宋体" w:hAnsi="宋体" w:eastAsia="宋体" w:cs="宋体"/>
                <w:b/>
                <w:color w:val="auto"/>
                <w:kern w:val="0"/>
                <w:szCs w:val="21"/>
                <w:highlight w:val="none"/>
              </w:rPr>
            </w:pPr>
            <w:bookmarkStart w:id="9" w:name="_Toc27212"/>
            <w:r>
              <w:rPr>
                <w:rFonts w:hint="eastAsia" w:ascii="宋体" w:hAnsi="宋体" w:eastAsia="宋体" w:cs="宋体"/>
                <w:b/>
                <w:color w:val="auto"/>
                <w:kern w:val="0"/>
                <w:szCs w:val="21"/>
                <w:highlight w:val="none"/>
              </w:rPr>
              <w:t>数量</w:t>
            </w:r>
            <w:bookmarkEnd w:id="9"/>
          </w:p>
        </w:tc>
        <w:tc>
          <w:tcPr>
            <w:tcW w:w="1568" w:type="dxa"/>
            <w:shd w:val="clear" w:color="auto" w:fill="EEECE1"/>
            <w:noWrap w:val="0"/>
            <w:vAlign w:val="center"/>
          </w:tcPr>
          <w:p w14:paraId="1DC5A65E">
            <w:pPr>
              <w:keepNext/>
              <w:keepLines/>
              <w:adjustRightInd w:val="0"/>
              <w:spacing w:line="360" w:lineRule="exact"/>
              <w:jc w:val="center"/>
              <w:textAlignment w:val="baseline"/>
              <w:outlineLvl w:val="1"/>
              <w:rPr>
                <w:rFonts w:hint="eastAsia" w:ascii="宋体" w:hAnsi="宋体" w:eastAsia="宋体" w:cs="宋体"/>
                <w:b/>
                <w:color w:val="auto"/>
                <w:kern w:val="0"/>
                <w:szCs w:val="21"/>
                <w:highlight w:val="none"/>
              </w:rPr>
            </w:pPr>
            <w:bookmarkStart w:id="10" w:name="_Toc10834"/>
            <w:r>
              <w:rPr>
                <w:rFonts w:hint="eastAsia" w:ascii="宋体" w:hAnsi="宋体" w:eastAsia="宋体" w:cs="宋体"/>
                <w:b/>
                <w:color w:val="auto"/>
                <w:kern w:val="0"/>
                <w:szCs w:val="21"/>
                <w:highlight w:val="none"/>
              </w:rPr>
              <w:t>分项预算单价（元）</w:t>
            </w:r>
            <w:bookmarkEnd w:id="10"/>
          </w:p>
        </w:tc>
        <w:tc>
          <w:tcPr>
            <w:tcW w:w="1589" w:type="dxa"/>
            <w:shd w:val="clear" w:color="auto" w:fill="EEECE1"/>
            <w:noWrap w:val="0"/>
            <w:vAlign w:val="center"/>
          </w:tcPr>
          <w:p w14:paraId="45AAE6E4">
            <w:pPr>
              <w:keepNext/>
              <w:keepLines/>
              <w:adjustRightInd w:val="0"/>
              <w:spacing w:line="360" w:lineRule="auto"/>
              <w:jc w:val="center"/>
              <w:textAlignment w:val="baseline"/>
              <w:outlineLvl w:val="1"/>
              <w:rPr>
                <w:rFonts w:hint="eastAsia" w:ascii="宋体" w:hAnsi="宋体" w:eastAsia="宋体" w:cs="宋体"/>
                <w:b/>
                <w:color w:val="auto"/>
                <w:kern w:val="0"/>
                <w:szCs w:val="21"/>
                <w:highlight w:val="none"/>
              </w:rPr>
            </w:pPr>
            <w:bookmarkStart w:id="11" w:name="_Toc28094"/>
            <w:r>
              <w:rPr>
                <w:rFonts w:hint="eastAsia" w:ascii="宋体" w:hAnsi="宋体" w:eastAsia="宋体" w:cs="宋体"/>
                <w:b/>
                <w:color w:val="auto"/>
                <w:kern w:val="0"/>
                <w:szCs w:val="21"/>
                <w:highlight w:val="none"/>
              </w:rPr>
              <w:t>分项预算总</w:t>
            </w:r>
            <w:bookmarkEnd w:id="11"/>
          </w:p>
          <w:p w14:paraId="48BEADD0">
            <w:pPr>
              <w:keepNext/>
              <w:keepLines/>
              <w:adjustRightInd w:val="0"/>
              <w:spacing w:line="360" w:lineRule="auto"/>
              <w:jc w:val="center"/>
              <w:textAlignment w:val="baseline"/>
              <w:outlineLvl w:val="1"/>
              <w:rPr>
                <w:rFonts w:hint="eastAsia" w:ascii="宋体" w:hAnsi="宋体" w:eastAsia="宋体" w:cs="宋体"/>
                <w:b/>
                <w:color w:val="auto"/>
                <w:kern w:val="0"/>
                <w:szCs w:val="21"/>
                <w:highlight w:val="none"/>
              </w:rPr>
            </w:pPr>
            <w:bookmarkStart w:id="12" w:name="_Toc7667"/>
            <w:r>
              <w:rPr>
                <w:rFonts w:hint="eastAsia" w:ascii="宋体" w:hAnsi="宋体" w:eastAsia="宋体" w:cs="宋体"/>
                <w:b/>
                <w:color w:val="auto"/>
                <w:kern w:val="0"/>
                <w:szCs w:val="21"/>
                <w:highlight w:val="none"/>
              </w:rPr>
              <w:t>价（元）</w:t>
            </w:r>
            <w:bookmarkEnd w:id="12"/>
          </w:p>
        </w:tc>
        <w:tc>
          <w:tcPr>
            <w:tcW w:w="634" w:type="dxa"/>
            <w:shd w:val="clear" w:color="auto" w:fill="EEECE1"/>
            <w:noWrap w:val="0"/>
            <w:vAlign w:val="center"/>
          </w:tcPr>
          <w:p w14:paraId="518870A5">
            <w:pPr>
              <w:keepNext/>
              <w:keepLines/>
              <w:adjustRightInd w:val="0"/>
              <w:spacing w:line="360" w:lineRule="auto"/>
              <w:jc w:val="center"/>
              <w:textAlignment w:val="baseline"/>
              <w:outlineLvl w:val="1"/>
              <w:rPr>
                <w:rFonts w:hint="eastAsia" w:ascii="宋体" w:hAnsi="宋体" w:eastAsia="宋体" w:cs="宋体"/>
                <w:b/>
                <w:color w:val="auto"/>
                <w:kern w:val="0"/>
                <w:szCs w:val="21"/>
                <w:highlight w:val="none"/>
              </w:rPr>
            </w:pPr>
            <w:bookmarkStart w:id="13" w:name="_Toc20244"/>
            <w:r>
              <w:rPr>
                <w:rFonts w:hint="eastAsia" w:ascii="宋体" w:hAnsi="宋体" w:eastAsia="宋体" w:cs="宋体"/>
                <w:b/>
                <w:color w:val="auto"/>
                <w:kern w:val="0"/>
                <w:szCs w:val="21"/>
                <w:highlight w:val="none"/>
              </w:rPr>
              <w:t>所属行业</w:t>
            </w:r>
            <w:bookmarkEnd w:id="13"/>
          </w:p>
        </w:tc>
        <w:tc>
          <w:tcPr>
            <w:tcW w:w="682" w:type="dxa"/>
            <w:shd w:val="clear" w:color="auto" w:fill="EEECE1"/>
            <w:noWrap w:val="0"/>
            <w:vAlign w:val="center"/>
          </w:tcPr>
          <w:p w14:paraId="73F676CB">
            <w:pPr>
              <w:keepNext/>
              <w:keepLines/>
              <w:adjustRightInd w:val="0"/>
              <w:spacing w:line="360" w:lineRule="auto"/>
              <w:jc w:val="center"/>
              <w:textAlignment w:val="baseline"/>
              <w:outlineLvl w:val="1"/>
              <w:rPr>
                <w:rFonts w:hint="eastAsia" w:ascii="宋体" w:hAnsi="宋体" w:eastAsia="宋体" w:cs="宋体"/>
                <w:b/>
                <w:color w:val="auto"/>
                <w:kern w:val="0"/>
                <w:szCs w:val="21"/>
                <w:highlight w:val="none"/>
              </w:rPr>
            </w:pPr>
            <w:bookmarkStart w:id="14" w:name="_Toc8930"/>
            <w:r>
              <w:rPr>
                <w:rFonts w:hint="eastAsia" w:ascii="宋体" w:hAnsi="宋体" w:eastAsia="宋体" w:cs="宋体"/>
                <w:b/>
                <w:color w:val="auto"/>
                <w:kern w:val="0"/>
                <w:szCs w:val="21"/>
                <w:highlight w:val="none"/>
              </w:rPr>
              <w:t>技术要求</w:t>
            </w:r>
            <w:bookmarkEnd w:id="14"/>
          </w:p>
        </w:tc>
      </w:tr>
      <w:tr w14:paraId="1DA0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534" w:type="dxa"/>
            <w:noWrap w:val="0"/>
            <w:vAlign w:val="center"/>
          </w:tcPr>
          <w:p w14:paraId="2ECC8CA3">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93" w:type="dxa"/>
            <w:noWrap w:val="0"/>
            <w:vAlign w:val="center"/>
          </w:tcPr>
          <w:p w14:paraId="64172043">
            <w:pPr>
              <w:keepNext/>
              <w:keepLines/>
              <w:adjustRightInd w:val="0"/>
              <w:spacing w:line="360" w:lineRule="auto"/>
              <w:jc w:val="center"/>
              <w:textAlignment w:val="baseline"/>
              <w:rPr>
                <w:rFonts w:hint="eastAsia" w:ascii="宋体" w:hAnsi="宋体" w:eastAsia="宋体" w:cs="宋体"/>
                <w:bCs/>
                <w:color w:val="auto"/>
                <w:kern w:val="0"/>
                <w:szCs w:val="21"/>
                <w:highlight w:val="none"/>
              </w:rPr>
            </w:pPr>
          </w:p>
        </w:tc>
        <w:tc>
          <w:tcPr>
            <w:tcW w:w="1330" w:type="dxa"/>
            <w:noWrap w:val="0"/>
            <w:vAlign w:val="center"/>
          </w:tcPr>
          <w:p w14:paraId="47A1BC5B">
            <w:pPr>
              <w:widowControl/>
              <w:spacing w:line="360" w:lineRule="auto"/>
              <w:ind w:right="-29" w:rightChars="-14"/>
              <w:jc w:val="center"/>
              <w:rPr>
                <w:rFonts w:hint="eastAsia" w:ascii="宋体" w:hAnsi="宋体" w:eastAsia="宋体" w:cs="宋体"/>
                <w:bCs/>
                <w:color w:val="auto"/>
                <w:kern w:val="0"/>
                <w:szCs w:val="21"/>
                <w:highlight w:val="none"/>
                <w:lang w:eastAsia="zh-CN"/>
              </w:rPr>
            </w:pPr>
            <w:r>
              <w:rPr>
                <w:rFonts w:hint="eastAsia" w:ascii="宋体" w:hAnsi="宋体" w:eastAsia="宋体" w:cs="宋体"/>
                <w:color w:val="auto"/>
                <w:szCs w:val="21"/>
                <w:highlight w:val="none"/>
                <w:lang w:val="en-US" w:eastAsia="zh-CN"/>
              </w:rPr>
              <w:t>急救和生命支持设备</w:t>
            </w:r>
          </w:p>
        </w:tc>
        <w:tc>
          <w:tcPr>
            <w:tcW w:w="1001" w:type="dxa"/>
            <w:noWrap w:val="0"/>
            <w:vAlign w:val="center"/>
          </w:tcPr>
          <w:p w14:paraId="3722D739">
            <w:pPr>
              <w:widowControl/>
              <w:spacing w:line="360" w:lineRule="auto"/>
              <w:ind w:right="-29" w:rightChars="-14"/>
              <w:jc w:val="center"/>
              <w:rPr>
                <w:rFonts w:hint="eastAsia" w:ascii="宋体" w:hAnsi="宋体" w:eastAsia="宋体" w:cs="宋体"/>
                <w:bCs/>
                <w:color w:val="auto"/>
                <w:kern w:val="0"/>
                <w:szCs w:val="21"/>
                <w:highlight w:val="none"/>
                <w:lang w:eastAsia="zh-CN"/>
              </w:rPr>
            </w:pPr>
            <w:r>
              <w:rPr>
                <w:rFonts w:hint="eastAsia" w:ascii="宋体" w:hAnsi="宋体" w:eastAsia="宋体" w:cs="宋体"/>
                <w:color w:val="auto"/>
                <w:szCs w:val="21"/>
                <w:highlight w:val="none"/>
                <w:lang w:eastAsia="zh-CN"/>
              </w:rPr>
              <w:t>无创呼吸机</w:t>
            </w:r>
          </w:p>
        </w:tc>
        <w:tc>
          <w:tcPr>
            <w:tcW w:w="542" w:type="dxa"/>
            <w:noWrap w:val="0"/>
            <w:vAlign w:val="center"/>
          </w:tcPr>
          <w:p w14:paraId="490A795B">
            <w:pPr>
              <w:widowControl/>
              <w:spacing w:line="360" w:lineRule="auto"/>
              <w:ind w:right="-29" w:rightChars="-14"/>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套</w:t>
            </w:r>
          </w:p>
        </w:tc>
        <w:tc>
          <w:tcPr>
            <w:tcW w:w="491" w:type="dxa"/>
            <w:noWrap w:val="0"/>
            <w:vAlign w:val="center"/>
          </w:tcPr>
          <w:p w14:paraId="01D25767">
            <w:pPr>
              <w:widowControl/>
              <w:spacing w:line="360" w:lineRule="auto"/>
              <w:ind w:right="-29" w:rightChars="-14"/>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1568" w:type="dxa"/>
            <w:noWrap w:val="0"/>
            <w:vAlign w:val="center"/>
          </w:tcPr>
          <w:p w14:paraId="3139EAD6">
            <w:pPr>
              <w:keepNext w:val="0"/>
              <w:keepLines w:val="0"/>
              <w:widowControl/>
              <w:suppressLineNumbers w:val="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150,000.00</w:t>
            </w:r>
          </w:p>
        </w:tc>
        <w:tc>
          <w:tcPr>
            <w:tcW w:w="1589" w:type="dxa"/>
            <w:noWrap w:val="0"/>
            <w:vAlign w:val="center"/>
          </w:tcPr>
          <w:p w14:paraId="46197C7B">
            <w:pPr>
              <w:widowControl/>
              <w:spacing w:line="360" w:lineRule="auto"/>
              <w:ind w:right="-29" w:rightChars="-14"/>
              <w:jc w:val="center"/>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450,000.00</w:t>
            </w:r>
          </w:p>
        </w:tc>
        <w:tc>
          <w:tcPr>
            <w:tcW w:w="634" w:type="dxa"/>
            <w:noWrap w:val="0"/>
            <w:vAlign w:val="center"/>
          </w:tcPr>
          <w:p w14:paraId="3BC812D4">
            <w:pPr>
              <w:keepNext/>
              <w:keepLines/>
              <w:adjustRightInd w:val="0"/>
              <w:spacing w:line="360" w:lineRule="auto"/>
              <w:jc w:val="center"/>
              <w:textAlignment w:val="baseline"/>
              <w:outlineLvl w:val="1"/>
              <w:rPr>
                <w:rFonts w:hint="eastAsia" w:ascii="宋体" w:hAnsi="宋体" w:eastAsia="宋体" w:cs="宋体"/>
                <w:bCs/>
                <w:color w:val="auto"/>
                <w:kern w:val="0"/>
                <w:szCs w:val="21"/>
                <w:highlight w:val="none"/>
              </w:rPr>
            </w:pPr>
            <w:bookmarkStart w:id="15" w:name="_Toc11419"/>
            <w:r>
              <w:rPr>
                <w:rFonts w:hint="eastAsia" w:ascii="宋体" w:hAnsi="宋体" w:eastAsia="宋体" w:cs="宋体"/>
                <w:bCs/>
                <w:color w:val="auto"/>
                <w:kern w:val="0"/>
                <w:szCs w:val="21"/>
                <w:highlight w:val="none"/>
              </w:rPr>
              <w:t>工业</w:t>
            </w:r>
            <w:bookmarkEnd w:id="15"/>
          </w:p>
        </w:tc>
        <w:tc>
          <w:tcPr>
            <w:tcW w:w="682" w:type="dxa"/>
            <w:noWrap w:val="0"/>
            <w:vAlign w:val="center"/>
          </w:tcPr>
          <w:p w14:paraId="0B32CAF1">
            <w:pPr>
              <w:keepNext/>
              <w:keepLines/>
              <w:adjustRightInd w:val="0"/>
              <w:spacing w:line="360" w:lineRule="auto"/>
              <w:jc w:val="center"/>
              <w:textAlignment w:val="baseline"/>
              <w:outlineLvl w:val="1"/>
              <w:rPr>
                <w:rFonts w:hint="eastAsia" w:ascii="宋体" w:hAnsi="宋体" w:eastAsia="宋体" w:cs="宋体"/>
                <w:bCs/>
                <w:color w:val="auto"/>
                <w:kern w:val="0"/>
                <w:szCs w:val="21"/>
                <w:highlight w:val="none"/>
              </w:rPr>
            </w:pPr>
            <w:bookmarkStart w:id="16" w:name="_Toc4086"/>
            <w:r>
              <w:rPr>
                <w:rFonts w:hint="eastAsia" w:ascii="宋体" w:hAnsi="宋体" w:eastAsia="宋体" w:cs="宋体"/>
                <w:bCs/>
                <w:color w:val="auto"/>
                <w:kern w:val="0"/>
                <w:szCs w:val="21"/>
                <w:highlight w:val="none"/>
              </w:rPr>
              <w:t>详见附表一</w:t>
            </w:r>
            <w:bookmarkEnd w:id="16"/>
          </w:p>
        </w:tc>
      </w:tr>
      <w:tr w14:paraId="3D82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534" w:type="dxa"/>
            <w:noWrap w:val="0"/>
            <w:vAlign w:val="center"/>
          </w:tcPr>
          <w:p w14:paraId="26C4D64B">
            <w:pPr>
              <w:widowControl/>
              <w:jc w:val="center"/>
              <w:textAlignment w:val="center"/>
              <w:rPr>
                <w:rFonts w:hint="eastAsia" w:ascii="宋体" w:hAnsi="宋体" w:eastAsia="宋体" w:cs="宋体"/>
                <w:color w:val="auto"/>
                <w:kern w:val="0"/>
                <w:szCs w:val="21"/>
                <w:highlight w:val="none"/>
                <w:lang w:val="en-US" w:eastAsia="zh-CN"/>
              </w:rPr>
            </w:pPr>
            <w:bookmarkStart w:id="17" w:name="_Toc29825"/>
            <w:r>
              <w:rPr>
                <w:rFonts w:hint="eastAsia" w:ascii="宋体" w:hAnsi="宋体" w:cs="宋体"/>
                <w:color w:val="auto"/>
                <w:kern w:val="0"/>
                <w:szCs w:val="21"/>
                <w:highlight w:val="none"/>
                <w:lang w:val="en-US" w:eastAsia="zh-CN"/>
              </w:rPr>
              <w:t>2</w:t>
            </w:r>
          </w:p>
        </w:tc>
        <w:tc>
          <w:tcPr>
            <w:tcW w:w="693" w:type="dxa"/>
            <w:noWrap w:val="0"/>
            <w:vAlign w:val="center"/>
          </w:tcPr>
          <w:p w14:paraId="47DB765F">
            <w:pPr>
              <w:keepNext/>
              <w:keepLines/>
              <w:adjustRightInd w:val="0"/>
              <w:spacing w:line="360" w:lineRule="auto"/>
              <w:jc w:val="center"/>
              <w:textAlignment w:val="baseline"/>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w:t>
            </w:r>
          </w:p>
        </w:tc>
        <w:tc>
          <w:tcPr>
            <w:tcW w:w="1330" w:type="dxa"/>
            <w:noWrap w:val="0"/>
            <w:vAlign w:val="center"/>
          </w:tcPr>
          <w:p w14:paraId="6CCD9AA2">
            <w:pPr>
              <w:widowControl/>
              <w:spacing w:line="360" w:lineRule="auto"/>
              <w:ind w:right="-29" w:rightChars="-14"/>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急救和生命支持设备</w:t>
            </w:r>
          </w:p>
        </w:tc>
        <w:tc>
          <w:tcPr>
            <w:tcW w:w="1001" w:type="dxa"/>
            <w:noWrap w:val="0"/>
            <w:vAlign w:val="center"/>
          </w:tcPr>
          <w:p w14:paraId="3D1DF0CB">
            <w:pPr>
              <w:widowControl/>
              <w:spacing w:line="360" w:lineRule="auto"/>
              <w:ind w:right="-29" w:rightChars="-14"/>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有创呼吸机</w:t>
            </w:r>
          </w:p>
        </w:tc>
        <w:tc>
          <w:tcPr>
            <w:tcW w:w="542" w:type="dxa"/>
            <w:noWrap w:val="0"/>
            <w:vAlign w:val="center"/>
          </w:tcPr>
          <w:p w14:paraId="148C957B">
            <w:pPr>
              <w:widowControl/>
              <w:spacing w:line="360" w:lineRule="auto"/>
              <w:ind w:right="-29" w:rightChars="-14"/>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套</w:t>
            </w:r>
          </w:p>
        </w:tc>
        <w:tc>
          <w:tcPr>
            <w:tcW w:w="491" w:type="dxa"/>
            <w:noWrap w:val="0"/>
            <w:vAlign w:val="center"/>
          </w:tcPr>
          <w:p w14:paraId="0BA34D6C">
            <w:pPr>
              <w:widowControl/>
              <w:spacing w:line="360" w:lineRule="auto"/>
              <w:ind w:right="-29" w:rightChars="-14"/>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c>
          <w:tcPr>
            <w:tcW w:w="1568" w:type="dxa"/>
            <w:noWrap w:val="0"/>
            <w:vAlign w:val="center"/>
          </w:tcPr>
          <w:p w14:paraId="22B1DC15">
            <w:pPr>
              <w:keepNext w:val="0"/>
              <w:keepLines w:val="0"/>
              <w:widowControl/>
              <w:suppressLineNumbers w:val="0"/>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400,000.00</w:t>
            </w:r>
          </w:p>
        </w:tc>
        <w:tc>
          <w:tcPr>
            <w:tcW w:w="1589" w:type="dxa"/>
            <w:noWrap w:val="0"/>
            <w:vAlign w:val="center"/>
          </w:tcPr>
          <w:p w14:paraId="25BD414C">
            <w:pPr>
              <w:widowControl/>
              <w:spacing w:line="360" w:lineRule="auto"/>
              <w:ind w:right="-29" w:rightChars="-1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8,000,000.00</w:t>
            </w:r>
          </w:p>
        </w:tc>
        <w:tc>
          <w:tcPr>
            <w:tcW w:w="634" w:type="dxa"/>
            <w:noWrap w:val="0"/>
            <w:vAlign w:val="center"/>
          </w:tcPr>
          <w:p w14:paraId="4017B21E">
            <w:pPr>
              <w:keepNext/>
              <w:keepLines/>
              <w:adjustRightInd w:val="0"/>
              <w:spacing w:line="360" w:lineRule="auto"/>
              <w:jc w:val="center"/>
              <w:textAlignment w:val="baseline"/>
              <w:outlineLvl w:val="1"/>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工业</w:t>
            </w:r>
          </w:p>
        </w:tc>
        <w:tc>
          <w:tcPr>
            <w:tcW w:w="682" w:type="dxa"/>
            <w:noWrap w:val="0"/>
            <w:vAlign w:val="center"/>
          </w:tcPr>
          <w:p w14:paraId="568E8A72">
            <w:pPr>
              <w:keepNext/>
              <w:keepLines/>
              <w:adjustRightInd w:val="0"/>
              <w:spacing w:line="360" w:lineRule="auto"/>
              <w:jc w:val="center"/>
              <w:textAlignment w:val="baseline"/>
              <w:outlineLvl w:val="1"/>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详见附表</w:t>
            </w:r>
            <w:r>
              <w:rPr>
                <w:rFonts w:hint="eastAsia" w:ascii="宋体" w:hAnsi="宋体" w:eastAsia="宋体" w:cs="宋体"/>
                <w:bCs/>
                <w:color w:val="auto"/>
                <w:kern w:val="0"/>
                <w:szCs w:val="21"/>
                <w:highlight w:val="none"/>
                <w:lang w:val="en-US" w:eastAsia="zh-CN"/>
              </w:rPr>
              <w:t>二</w:t>
            </w:r>
          </w:p>
        </w:tc>
      </w:tr>
      <w:tr w14:paraId="6195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534" w:type="dxa"/>
            <w:noWrap w:val="0"/>
            <w:vAlign w:val="center"/>
          </w:tcPr>
          <w:p w14:paraId="46175F06">
            <w:pPr>
              <w:widowControl/>
              <w:jc w:val="center"/>
              <w:textAlignment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693" w:type="dxa"/>
            <w:noWrap w:val="0"/>
            <w:vAlign w:val="center"/>
          </w:tcPr>
          <w:p w14:paraId="084E9EEC">
            <w:pPr>
              <w:keepNext/>
              <w:keepLines/>
              <w:adjustRightInd w:val="0"/>
              <w:spacing w:line="360" w:lineRule="auto"/>
              <w:jc w:val="center"/>
              <w:textAlignment w:val="baseline"/>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w:t>
            </w:r>
          </w:p>
        </w:tc>
        <w:tc>
          <w:tcPr>
            <w:tcW w:w="1330" w:type="dxa"/>
            <w:noWrap w:val="0"/>
            <w:vAlign w:val="center"/>
          </w:tcPr>
          <w:p w14:paraId="0F2007CE">
            <w:pPr>
              <w:widowControl/>
              <w:spacing w:line="360" w:lineRule="auto"/>
              <w:ind w:right="-29" w:rightChars="-14"/>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急救和生命支持设备</w:t>
            </w:r>
          </w:p>
        </w:tc>
        <w:tc>
          <w:tcPr>
            <w:tcW w:w="1001" w:type="dxa"/>
            <w:noWrap w:val="0"/>
            <w:vAlign w:val="center"/>
          </w:tcPr>
          <w:p w14:paraId="2E069CF9">
            <w:pPr>
              <w:widowControl/>
              <w:spacing w:line="360" w:lineRule="auto"/>
              <w:ind w:right="-29" w:rightChars="-14"/>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转运呼吸机</w:t>
            </w:r>
          </w:p>
        </w:tc>
        <w:tc>
          <w:tcPr>
            <w:tcW w:w="542" w:type="dxa"/>
            <w:noWrap w:val="0"/>
            <w:vAlign w:val="center"/>
          </w:tcPr>
          <w:p w14:paraId="5A27140D">
            <w:pPr>
              <w:widowControl/>
              <w:spacing w:line="360" w:lineRule="auto"/>
              <w:ind w:right="-29" w:rightChars="-14"/>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套</w:t>
            </w:r>
          </w:p>
        </w:tc>
        <w:tc>
          <w:tcPr>
            <w:tcW w:w="491" w:type="dxa"/>
            <w:noWrap w:val="0"/>
            <w:vAlign w:val="center"/>
          </w:tcPr>
          <w:p w14:paraId="7DBEC689">
            <w:pPr>
              <w:widowControl/>
              <w:spacing w:line="360" w:lineRule="auto"/>
              <w:ind w:right="-29" w:rightChars="-14"/>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1568" w:type="dxa"/>
            <w:noWrap w:val="0"/>
            <w:vAlign w:val="center"/>
          </w:tcPr>
          <w:p w14:paraId="7877CFF1">
            <w:pPr>
              <w:keepNext w:val="0"/>
              <w:keepLines w:val="0"/>
              <w:widowControl/>
              <w:suppressLineNumbers w:val="0"/>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250,000.00</w:t>
            </w:r>
          </w:p>
        </w:tc>
        <w:tc>
          <w:tcPr>
            <w:tcW w:w="1589" w:type="dxa"/>
            <w:noWrap w:val="0"/>
            <w:vAlign w:val="center"/>
          </w:tcPr>
          <w:p w14:paraId="0DD45241">
            <w:pPr>
              <w:widowControl/>
              <w:spacing w:line="360" w:lineRule="auto"/>
              <w:ind w:right="-29" w:rightChars="-1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1,250,000.00</w:t>
            </w:r>
          </w:p>
        </w:tc>
        <w:tc>
          <w:tcPr>
            <w:tcW w:w="634" w:type="dxa"/>
            <w:noWrap w:val="0"/>
            <w:vAlign w:val="center"/>
          </w:tcPr>
          <w:p w14:paraId="598FB44C">
            <w:pPr>
              <w:keepNext/>
              <w:keepLines/>
              <w:adjustRightInd w:val="0"/>
              <w:spacing w:line="360" w:lineRule="auto"/>
              <w:jc w:val="center"/>
              <w:textAlignment w:val="baseline"/>
              <w:outlineLvl w:val="1"/>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Cs w:val="21"/>
                <w:highlight w:val="none"/>
              </w:rPr>
              <w:t>工业</w:t>
            </w:r>
          </w:p>
        </w:tc>
        <w:tc>
          <w:tcPr>
            <w:tcW w:w="682" w:type="dxa"/>
            <w:noWrap w:val="0"/>
            <w:vAlign w:val="center"/>
          </w:tcPr>
          <w:p w14:paraId="39B5616A">
            <w:pPr>
              <w:keepNext/>
              <w:keepLines/>
              <w:adjustRightInd w:val="0"/>
              <w:spacing w:line="360" w:lineRule="auto"/>
              <w:jc w:val="center"/>
              <w:textAlignment w:val="baseline"/>
              <w:outlineLvl w:val="1"/>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Cs w:val="21"/>
                <w:highlight w:val="none"/>
              </w:rPr>
              <w:t>详见附表</w:t>
            </w:r>
            <w:r>
              <w:rPr>
                <w:rFonts w:hint="eastAsia" w:ascii="宋体" w:hAnsi="宋体" w:eastAsia="宋体" w:cs="宋体"/>
                <w:bCs/>
                <w:color w:val="auto"/>
                <w:kern w:val="0"/>
                <w:szCs w:val="21"/>
                <w:highlight w:val="none"/>
                <w:lang w:val="en-US" w:eastAsia="zh-CN"/>
              </w:rPr>
              <w:t>三</w:t>
            </w:r>
          </w:p>
        </w:tc>
      </w:tr>
    </w:tbl>
    <w:p w14:paraId="590768D5">
      <w:pPr>
        <w:keepNext/>
        <w:keepLines/>
        <w:adjustRightInd w:val="0"/>
        <w:spacing w:line="360" w:lineRule="auto"/>
        <w:jc w:val="left"/>
        <w:textAlignment w:val="baseline"/>
        <w:outlineLvl w:val="1"/>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rPr>
        <w:t>附</w:t>
      </w:r>
      <w:r>
        <w:rPr>
          <w:rFonts w:hint="eastAsia" w:ascii="宋体" w:hAnsi="宋体" w:eastAsia="宋体" w:cs="宋体"/>
          <w:b/>
          <w:bCs w:val="0"/>
          <w:color w:val="auto"/>
          <w:kern w:val="0"/>
          <w:sz w:val="24"/>
          <w:szCs w:val="24"/>
          <w:highlight w:val="none"/>
        </w:rPr>
        <w:t>表</w:t>
      </w:r>
      <w:r>
        <w:rPr>
          <w:rFonts w:hint="eastAsia" w:ascii="宋体" w:hAnsi="宋体" w:eastAsia="宋体" w:cs="宋体"/>
          <w:b/>
          <w:bCs w:val="0"/>
          <w:color w:val="auto"/>
          <w:kern w:val="0"/>
          <w:sz w:val="24"/>
          <w:szCs w:val="24"/>
          <w:highlight w:val="none"/>
          <w:lang w:val="en-US" w:eastAsia="zh-CN"/>
        </w:rPr>
        <w:t>一</w:t>
      </w:r>
      <w:r>
        <w:rPr>
          <w:rFonts w:hint="eastAsia" w:ascii="宋体" w:hAnsi="宋体" w:eastAsia="宋体" w:cs="宋体"/>
          <w:b/>
          <w:color w:val="auto"/>
          <w:kern w:val="0"/>
          <w:sz w:val="24"/>
          <w:szCs w:val="24"/>
          <w:highlight w:val="none"/>
        </w:rPr>
        <w:t>：</w:t>
      </w:r>
      <w:bookmarkEnd w:id="17"/>
      <w:r>
        <w:rPr>
          <w:rFonts w:hint="eastAsia" w:ascii="宋体" w:hAnsi="宋体" w:cs="宋体"/>
          <w:b/>
          <w:color w:val="auto"/>
          <w:kern w:val="0"/>
          <w:sz w:val="24"/>
          <w:szCs w:val="24"/>
          <w:highlight w:val="none"/>
          <w:lang w:eastAsia="zh-CN"/>
        </w:rPr>
        <w:t>无创呼吸机</w:t>
      </w:r>
    </w:p>
    <w:tbl>
      <w:tblPr>
        <w:tblStyle w:val="12"/>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450"/>
        <w:gridCol w:w="8454"/>
      </w:tblGrid>
      <w:tr w14:paraId="58E8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491" w:type="dxa"/>
            <w:shd w:val="clear" w:color="auto" w:fill="EEECE1"/>
            <w:noWrap w:val="0"/>
            <w:vAlign w:val="center"/>
          </w:tcPr>
          <w:p w14:paraId="357830C9">
            <w:pPr>
              <w:keepNext/>
              <w:keepLines/>
              <w:adjustRightInd w:val="0"/>
              <w:spacing w:line="360" w:lineRule="auto"/>
              <w:jc w:val="center"/>
              <w:textAlignment w:val="baseline"/>
              <w:outlineLvl w:val="1"/>
              <w:rPr>
                <w:rFonts w:hint="eastAsia" w:ascii="宋体" w:hAnsi="宋体" w:eastAsia="宋体" w:cs="宋体"/>
                <w:b/>
                <w:color w:val="auto"/>
                <w:kern w:val="0"/>
                <w:szCs w:val="21"/>
                <w:highlight w:val="none"/>
              </w:rPr>
            </w:pPr>
            <w:bookmarkStart w:id="18" w:name="_Toc10873"/>
            <w:r>
              <w:rPr>
                <w:rFonts w:hint="eastAsia" w:ascii="宋体" w:hAnsi="宋体" w:eastAsia="宋体" w:cs="宋体"/>
                <w:b/>
                <w:color w:val="auto"/>
                <w:kern w:val="0"/>
                <w:szCs w:val="21"/>
                <w:highlight w:val="none"/>
              </w:rPr>
              <w:t>参数性质</w:t>
            </w:r>
            <w:bookmarkEnd w:id="18"/>
          </w:p>
        </w:tc>
        <w:tc>
          <w:tcPr>
            <w:tcW w:w="450" w:type="dxa"/>
            <w:shd w:val="clear" w:color="auto" w:fill="EEECE1"/>
            <w:noWrap w:val="0"/>
            <w:vAlign w:val="center"/>
          </w:tcPr>
          <w:p w14:paraId="7B57C4C9">
            <w:pPr>
              <w:keepNext/>
              <w:keepLines/>
              <w:adjustRightInd w:val="0"/>
              <w:spacing w:line="360" w:lineRule="auto"/>
              <w:jc w:val="center"/>
              <w:textAlignment w:val="baseline"/>
              <w:outlineLvl w:val="1"/>
              <w:rPr>
                <w:rFonts w:hint="eastAsia" w:ascii="宋体" w:hAnsi="宋体" w:eastAsia="宋体" w:cs="宋体"/>
                <w:b/>
                <w:color w:val="auto"/>
                <w:kern w:val="0"/>
                <w:szCs w:val="21"/>
                <w:highlight w:val="none"/>
              </w:rPr>
            </w:pPr>
            <w:bookmarkStart w:id="19" w:name="_Toc28535"/>
            <w:r>
              <w:rPr>
                <w:rFonts w:hint="eastAsia" w:ascii="宋体" w:hAnsi="宋体" w:eastAsia="宋体" w:cs="宋体"/>
                <w:b/>
                <w:color w:val="auto"/>
                <w:kern w:val="0"/>
                <w:szCs w:val="21"/>
                <w:highlight w:val="none"/>
              </w:rPr>
              <w:t>序号</w:t>
            </w:r>
            <w:bookmarkEnd w:id="19"/>
          </w:p>
        </w:tc>
        <w:tc>
          <w:tcPr>
            <w:tcW w:w="8454" w:type="dxa"/>
            <w:shd w:val="clear" w:color="auto" w:fill="EEECE1"/>
            <w:noWrap w:val="0"/>
            <w:vAlign w:val="center"/>
          </w:tcPr>
          <w:p w14:paraId="3880EEC2">
            <w:pPr>
              <w:keepNext/>
              <w:keepLines/>
              <w:adjustRightInd w:val="0"/>
              <w:spacing w:line="360" w:lineRule="auto"/>
              <w:jc w:val="center"/>
              <w:textAlignment w:val="baseline"/>
              <w:outlineLvl w:val="1"/>
              <w:rPr>
                <w:rFonts w:hint="eastAsia" w:ascii="宋体" w:hAnsi="宋体" w:eastAsia="宋体" w:cs="宋体"/>
                <w:b/>
                <w:color w:val="auto"/>
                <w:kern w:val="0"/>
                <w:szCs w:val="21"/>
                <w:highlight w:val="none"/>
              </w:rPr>
            </w:pPr>
            <w:bookmarkStart w:id="20" w:name="_Toc30396"/>
            <w:r>
              <w:rPr>
                <w:rFonts w:hint="eastAsia" w:ascii="宋体" w:hAnsi="宋体" w:eastAsia="宋体" w:cs="宋体"/>
                <w:b/>
                <w:color w:val="auto"/>
                <w:kern w:val="0"/>
                <w:szCs w:val="21"/>
                <w:highlight w:val="none"/>
              </w:rPr>
              <w:t>具体技术（参数）要求</w:t>
            </w:r>
            <w:bookmarkEnd w:id="20"/>
          </w:p>
        </w:tc>
      </w:tr>
      <w:tr w14:paraId="55B5D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noWrap w:val="0"/>
            <w:vAlign w:val="center"/>
          </w:tcPr>
          <w:p w14:paraId="4F3A2ACE">
            <w:pPr>
              <w:keepNext/>
              <w:keepLines/>
              <w:adjustRightInd w:val="0"/>
              <w:spacing w:line="360" w:lineRule="auto"/>
              <w:jc w:val="center"/>
              <w:textAlignment w:val="baseline"/>
              <w:rPr>
                <w:rFonts w:hint="eastAsia" w:ascii="宋体" w:hAnsi="宋体" w:eastAsia="宋体" w:cs="宋体"/>
                <w:bCs/>
                <w:color w:val="auto"/>
                <w:kern w:val="0"/>
                <w:szCs w:val="21"/>
                <w:highlight w:val="none"/>
              </w:rPr>
            </w:pPr>
          </w:p>
        </w:tc>
        <w:tc>
          <w:tcPr>
            <w:tcW w:w="450" w:type="dxa"/>
            <w:noWrap w:val="0"/>
            <w:vAlign w:val="center"/>
          </w:tcPr>
          <w:p w14:paraId="423D1CBE">
            <w:pPr>
              <w:keepNext/>
              <w:keepLines/>
              <w:adjustRightInd w:val="0"/>
              <w:spacing w:line="360" w:lineRule="auto"/>
              <w:jc w:val="center"/>
              <w:textAlignment w:val="baseline"/>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w:t>
            </w:r>
          </w:p>
        </w:tc>
        <w:tc>
          <w:tcPr>
            <w:tcW w:w="8454" w:type="dxa"/>
            <w:noWrap w:val="0"/>
            <w:vAlign w:val="bottom"/>
          </w:tcPr>
          <w:p w14:paraId="2A24E2A5">
            <w:pPr>
              <w:pStyle w:val="16"/>
              <w:keepNext w:val="0"/>
              <w:keepLines w:val="0"/>
              <w:pageBreakBefore w:val="0"/>
              <w:numPr>
                <w:ilvl w:val="0"/>
                <w:numId w:val="0"/>
              </w:numPr>
              <w:kinsoku/>
              <w:wordWrap/>
              <w:overflowPunct/>
              <w:topLinePunct w:val="0"/>
              <w:autoSpaceDE/>
              <w:autoSpaceDN/>
              <w:bidi w:val="0"/>
              <w:adjustRightInd/>
              <w:snapToGrid/>
              <w:spacing w:line="360" w:lineRule="auto"/>
              <w:ind w:left="0" w:firstLine="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★一、产品要求：投标产品须为具有《医疗器械注册证》的产品。（提供《医疗器械注册证》并加盖投标人公章）</w:t>
            </w:r>
          </w:p>
          <w:p w14:paraId="59C76622">
            <w:pPr>
              <w:pStyle w:val="1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val="0"/>
                <w:color w:val="auto"/>
                <w:kern w:val="2"/>
                <w:sz w:val="21"/>
                <w:szCs w:val="21"/>
                <w:highlight w:val="none"/>
                <w:lang w:val="en-US" w:eastAsia="zh-CN" w:bidi="ar-SA"/>
              </w:rPr>
              <w:t>二、</w:t>
            </w:r>
            <w:r>
              <w:rPr>
                <w:rFonts w:hint="eastAsia" w:ascii="宋体" w:hAnsi="宋体" w:eastAsia="宋体" w:cs="宋体"/>
                <w:b/>
                <w:color w:val="auto"/>
                <w:sz w:val="21"/>
                <w:szCs w:val="21"/>
                <w:highlight w:val="none"/>
              </w:rPr>
              <w:t>主要技术参数：</w:t>
            </w:r>
          </w:p>
          <w:p w14:paraId="3B060307">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1.适用于对成人和小儿患者进行通气辅助及呼吸支持，中文操作界面，能够满足危重症患者的无创通气需求。</w:t>
            </w:r>
          </w:p>
          <w:p w14:paraId="4BF626C8">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2.采用≥12英寸高清</w:t>
            </w:r>
            <w:r>
              <w:rPr>
                <w:rFonts w:hint="eastAsia" w:ascii="宋体" w:hAnsi="宋体" w:eastAsia="宋体" w:cs="宋体"/>
                <w:b w:val="0"/>
                <w:bCs w:val="0"/>
                <w:color w:val="auto"/>
                <w:sz w:val="21"/>
                <w:szCs w:val="21"/>
                <w:highlight w:val="none"/>
                <w:lang w:eastAsia="zh-CN"/>
              </w:rPr>
              <w:t>可防刮花</w:t>
            </w:r>
            <w:r>
              <w:rPr>
                <w:rFonts w:hint="eastAsia" w:ascii="宋体" w:hAnsi="宋体" w:eastAsia="宋体" w:cs="宋体"/>
                <w:b w:val="0"/>
                <w:bCs w:val="0"/>
                <w:color w:val="auto"/>
                <w:sz w:val="21"/>
                <w:szCs w:val="21"/>
                <w:highlight w:val="none"/>
              </w:rPr>
              <w:t>触摸屏，分辨率≥1280*800，屏幕可上下左右调整角度，可实现屏机分离。</w:t>
            </w:r>
          </w:p>
          <w:p w14:paraId="39A0F133">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3.屏幕显示：同屏显示≥4道波形，可同屏显示短趋势、波形、监测值等。</w:t>
            </w:r>
          </w:p>
          <w:p w14:paraId="2593AACE">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4.呼吸机自带屏幕录制功能。（提供产品说明书关键信息页扫描件证明并</w:t>
            </w:r>
            <w:r>
              <w:rPr>
                <w:rFonts w:hint="eastAsia" w:ascii="宋体" w:hAnsi="宋体" w:eastAsia="宋体" w:cs="宋体"/>
                <w:b w:val="0"/>
                <w:bCs w:val="0"/>
                <w:color w:val="auto"/>
                <w:sz w:val="21"/>
                <w:szCs w:val="21"/>
                <w:highlight w:val="none"/>
                <w:lang w:val="en-US" w:eastAsia="zh-CN"/>
              </w:rPr>
              <w:t>加</w:t>
            </w:r>
            <w:r>
              <w:rPr>
                <w:rFonts w:hint="eastAsia" w:ascii="宋体" w:hAnsi="宋体" w:eastAsia="宋体" w:cs="宋体"/>
                <w:b w:val="0"/>
                <w:bCs w:val="0"/>
                <w:color w:val="auto"/>
                <w:sz w:val="21"/>
                <w:szCs w:val="21"/>
                <w:highlight w:val="none"/>
              </w:rPr>
              <w:t>盖</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公章）</w:t>
            </w:r>
          </w:p>
          <w:p w14:paraId="6F789C92">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5.内置后备可充电锂电池≥160分钟（1块电池），电池总剩余电量能显示在屏幕上。</w:t>
            </w:r>
          </w:p>
          <w:p w14:paraId="6CE730FA">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6.吸气阀组件一体化设计，可快速拆卸，并能高温高压蒸汽消毒（130℃）以防止交叉感染。（提供产品说明书关键信息页扫描件证明</w:t>
            </w:r>
            <w:r>
              <w:rPr>
                <w:rFonts w:hint="eastAsia" w:ascii="宋体" w:hAnsi="宋体" w:eastAsia="宋体" w:cs="宋体"/>
                <w:b w:val="0"/>
                <w:bCs w:val="0"/>
                <w:color w:val="auto"/>
                <w:sz w:val="21"/>
                <w:szCs w:val="21"/>
                <w:highlight w:val="none"/>
              </w:rPr>
              <w:t>并</w:t>
            </w:r>
            <w:r>
              <w:rPr>
                <w:rFonts w:hint="eastAsia" w:ascii="宋体" w:hAnsi="宋体" w:eastAsia="宋体" w:cs="宋体"/>
                <w:b w:val="0"/>
                <w:bCs w:val="0"/>
                <w:color w:val="auto"/>
                <w:sz w:val="21"/>
                <w:szCs w:val="21"/>
                <w:highlight w:val="none"/>
                <w:lang w:val="en-US" w:eastAsia="zh-CN"/>
              </w:rPr>
              <w:t>加</w:t>
            </w:r>
            <w:r>
              <w:rPr>
                <w:rFonts w:hint="eastAsia" w:ascii="宋体" w:hAnsi="宋体" w:eastAsia="宋体" w:cs="宋体"/>
                <w:b w:val="0"/>
                <w:bCs w:val="0"/>
                <w:color w:val="auto"/>
                <w:sz w:val="21"/>
                <w:szCs w:val="21"/>
                <w:highlight w:val="none"/>
              </w:rPr>
              <w:t>盖</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公章</w:t>
            </w:r>
            <w:r>
              <w:rPr>
                <w:rFonts w:hint="eastAsia" w:ascii="宋体" w:hAnsi="宋体" w:eastAsia="宋体" w:cs="宋体"/>
                <w:b w:val="0"/>
                <w:bCs w:val="0"/>
                <w:color w:val="auto"/>
                <w:sz w:val="21"/>
                <w:szCs w:val="21"/>
                <w:highlight w:val="none"/>
              </w:rPr>
              <w:t>）</w:t>
            </w:r>
          </w:p>
          <w:p w14:paraId="045FE1FC">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7.通气模式：</w:t>
            </w:r>
          </w:p>
          <w:p w14:paraId="2E399947">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7.1具有持续气道正压通气模式（CPAP）、自主模式（S）、自主/时控模式（S/T）、压力控制模式(PCV)、容量保证时间控制模式（VG-T）、容量保证压力支持模式（VAPS）等</w:t>
            </w:r>
          </w:p>
          <w:p w14:paraId="734B19E3">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7.2  可根据用户需求增加比例压力支持模式(PPS/PPV )、压力调节容量控制模式（PRVC）。（提供产品第三方检验报告证明</w:t>
            </w:r>
            <w:r>
              <w:rPr>
                <w:rFonts w:hint="eastAsia" w:ascii="宋体" w:hAnsi="宋体" w:eastAsia="宋体" w:cs="宋体"/>
                <w:b w:val="0"/>
                <w:bCs w:val="0"/>
                <w:color w:val="auto"/>
                <w:sz w:val="21"/>
                <w:szCs w:val="21"/>
                <w:highlight w:val="none"/>
              </w:rPr>
              <w:t>并</w:t>
            </w:r>
            <w:r>
              <w:rPr>
                <w:rFonts w:hint="eastAsia" w:ascii="宋体" w:hAnsi="宋体" w:eastAsia="宋体" w:cs="宋体"/>
                <w:b w:val="0"/>
                <w:bCs w:val="0"/>
                <w:color w:val="auto"/>
                <w:sz w:val="21"/>
                <w:szCs w:val="21"/>
                <w:highlight w:val="none"/>
                <w:lang w:val="en-US" w:eastAsia="zh-CN"/>
              </w:rPr>
              <w:t>加</w:t>
            </w:r>
            <w:r>
              <w:rPr>
                <w:rFonts w:hint="eastAsia" w:ascii="宋体" w:hAnsi="宋体" w:eastAsia="宋体" w:cs="宋体"/>
                <w:b w:val="0"/>
                <w:bCs w:val="0"/>
                <w:color w:val="auto"/>
                <w:sz w:val="21"/>
                <w:szCs w:val="21"/>
                <w:highlight w:val="none"/>
              </w:rPr>
              <w:t>盖</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公</w:t>
            </w:r>
            <w:r>
              <w:rPr>
                <w:rFonts w:hint="eastAsia" w:ascii="宋体" w:hAnsi="宋体" w:eastAsia="宋体" w:cs="宋体"/>
                <w:b w:val="0"/>
                <w:bCs w:val="0"/>
                <w:color w:val="auto"/>
                <w:sz w:val="21"/>
                <w:szCs w:val="21"/>
                <w:highlight w:val="none"/>
              </w:rPr>
              <w:t>章</w:t>
            </w:r>
            <w:r>
              <w:rPr>
                <w:rFonts w:hint="eastAsia" w:ascii="宋体" w:hAnsi="宋体" w:eastAsia="宋体" w:cs="宋体"/>
                <w:b w:val="0"/>
                <w:bCs w:val="0"/>
                <w:color w:val="auto"/>
                <w:sz w:val="21"/>
                <w:szCs w:val="21"/>
                <w:highlight w:val="none"/>
              </w:rPr>
              <w:t>）</w:t>
            </w:r>
          </w:p>
          <w:p w14:paraId="55A7186A">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8.高流量氧疗：</w:t>
            </w:r>
          </w:p>
          <w:p w14:paraId="07A64CED">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8.1 具备高流速氧疗功能，氧疗最大流速≥80L/min，具有氧疗计时功能。</w:t>
            </w:r>
          </w:p>
          <w:p w14:paraId="75CD29EE">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8.2 支持同品牌高流量氧疗鼻氧管。（提供高流量氧疗鼻氧管的备案证或说明书关键信息页扫描件证明并</w:t>
            </w:r>
            <w:r>
              <w:rPr>
                <w:rFonts w:hint="eastAsia" w:ascii="宋体" w:hAnsi="宋体" w:eastAsia="宋体" w:cs="宋体"/>
                <w:b w:val="0"/>
                <w:bCs w:val="0"/>
                <w:color w:val="auto"/>
                <w:sz w:val="21"/>
                <w:szCs w:val="21"/>
                <w:highlight w:val="none"/>
                <w:lang w:val="en-US" w:eastAsia="zh-CN"/>
              </w:rPr>
              <w:t>加</w:t>
            </w:r>
            <w:r>
              <w:rPr>
                <w:rFonts w:hint="eastAsia" w:ascii="宋体" w:hAnsi="宋体" w:eastAsia="宋体" w:cs="宋体"/>
                <w:b w:val="0"/>
                <w:bCs w:val="0"/>
                <w:color w:val="auto"/>
                <w:sz w:val="21"/>
                <w:szCs w:val="21"/>
                <w:highlight w:val="none"/>
              </w:rPr>
              <w:t>盖</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公章）</w:t>
            </w:r>
          </w:p>
          <w:p w14:paraId="592A1619">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9.可根据用户需求增加高流量氧疗下可实时监测ROX指数及趋势回顾功能，具备OSI、RSS、SpO2/FiO2等评估参数，动态关注氧疗效果。（提供产品说明书关键信息页扫描件证明</w:t>
            </w:r>
            <w:r>
              <w:rPr>
                <w:rFonts w:hint="eastAsia" w:ascii="宋体" w:hAnsi="宋体" w:eastAsia="宋体" w:cs="宋体"/>
                <w:b w:val="0"/>
                <w:bCs w:val="0"/>
                <w:color w:val="auto"/>
                <w:sz w:val="21"/>
                <w:szCs w:val="21"/>
                <w:highlight w:val="none"/>
              </w:rPr>
              <w:t>并</w:t>
            </w:r>
            <w:r>
              <w:rPr>
                <w:rFonts w:hint="eastAsia" w:ascii="宋体" w:hAnsi="宋体" w:eastAsia="宋体" w:cs="宋体"/>
                <w:b w:val="0"/>
                <w:bCs w:val="0"/>
                <w:color w:val="auto"/>
                <w:sz w:val="21"/>
                <w:szCs w:val="21"/>
                <w:highlight w:val="none"/>
                <w:lang w:val="en-US" w:eastAsia="zh-CN"/>
              </w:rPr>
              <w:t>加</w:t>
            </w:r>
            <w:r>
              <w:rPr>
                <w:rFonts w:hint="eastAsia" w:ascii="宋体" w:hAnsi="宋体" w:eastAsia="宋体" w:cs="宋体"/>
                <w:b w:val="0"/>
                <w:bCs w:val="0"/>
                <w:color w:val="auto"/>
                <w:sz w:val="21"/>
                <w:szCs w:val="21"/>
                <w:highlight w:val="none"/>
              </w:rPr>
              <w:t>盖</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公章</w:t>
            </w:r>
            <w:r>
              <w:rPr>
                <w:rFonts w:hint="eastAsia" w:ascii="宋体" w:hAnsi="宋体" w:eastAsia="宋体" w:cs="宋体"/>
                <w:b w:val="0"/>
                <w:bCs w:val="0"/>
                <w:color w:val="auto"/>
                <w:sz w:val="21"/>
                <w:szCs w:val="21"/>
                <w:highlight w:val="none"/>
              </w:rPr>
              <w:t>）</w:t>
            </w:r>
          </w:p>
          <w:p w14:paraId="632EACB4">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10.具有压力释放、延时升压、增氧等功能。</w:t>
            </w:r>
          </w:p>
          <w:p w14:paraId="27FBFA8B">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11.具有吸气、呼气切换同步技术，可自动调节吸气触发/呼气切换灵敏度，吸气触发手动调节≥6档。</w:t>
            </w:r>
          </w:p>
          <w:p w14:paraId="34416BB4">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12.可根据用户需求增加SpO2及呼末二氧化碳监测功能。</w:t>
            </w:r>
          </w:p>
          <w:p w14:paraId="5C9F8BAD">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13.设置参数：</w:t>
            </w:r>
          </w:p>
          <w:p w14:paraId="2DF7D331">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13.1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潮气量：50ml—2000ml</w:t>
            </w:r>
          </w:p>
          <w:p w14:paraId="3A214BFD">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13.2  持续气道正压CPAP：成人/小儿3-30 cmH2O</w:t>
            </w:r>
          </w:p>
          <w:p w14:paraId="528777F6">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 xml:space="preserve">13.3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IPAP：3-50 cmH2O（提供产品说明书关键信息页扫描件证明并</w:t>
            </w:r>
            <w:r>
              <w:rPr>
                <w:rFonts w:hint="eastAsia" w:ascii="宋体" w:hAnsi="宋体" w:eastAsia="宋体" w:cs="宋体"/>
                <w:b w:val="0"/>
                <w:bCs w:val="0"/>
                <w:color w:val="auto"/>
                <w:sz w:val="21"/>
                <w:szCs w:val="21"/>
                <w:highlight w:val="none"/>
                <w:lang w:val="en-US" w:eastAsia="zh-CN"/>
              </w:rPr>
              <w:t>加</w:t>
            </w:r>
            <w:r>
              <w:rPr>
                <w:rFonts w:hint="eastAsia" w:ascii="宋体" w:hAnsi="宋体" w:eastAsia="宋体" w:cs="宋体"/>
                <w:b w:val="0"/>
                <w:bCs w:val="0"/>
                <w:color w:val="auto"/>
                <w:sz w:val="21"/>
                <w:szCs w:val="21"/>
                <w:highlight w:val="none"/>
              </w:rPr>
              <w:t>盖</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公章）</w:t>
            </w:r>
          </w:p>
          <w:p w14:paraId="66A728FE">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13.4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EPAP：3-30 cmH2O</w:t>
            </w:r>
          </w:p>
          <w:p w14:paraId="6DB3BABE">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13.5  呼吸频率：成人/小儿：1-60次/min</w:t>
            </w:r>
          </w:p>
          <w:p w14:paraId="12C1360B">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13.6  吸气时间：0.2—5s</w:t>
            </w:r>
          </w:p>
          <w:p w14:paraId="6A7CAAF9">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13.7  吸入氧浓度：21%—100%</w:t>
            </w:r>
          </w:p>
          <w:p w14:paraId="45F5556F">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13.8  压力上升时间：1-7档可调</w:t>
            </w:r>
          </w:p>
          <w:p w14:paraId="2A4F765D">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13.9  压力释放：OFF，0-3档可调</w:t>
            </w:r>
          </w:p>
          <w:p w14:paraId="6CA328B1">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14.监测参数：</w:t>
            </w:r>
          </w:p>
          <w:p w14:paraId="630C759A">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14.1  气道峰压、平均压、呼气末正压等参数监测。</w:t>
            </w:r>
          </w:p>
          <w:p w14:paraId="0D48F8ED">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14.2  潮气量、分钟通气量、病人端/总的分钟泄漏量等参数监测。</w:t>
            </w:r>
          </w:p>
          <w:p w14:paraId="009D1577">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14.3  呼吸频率、病人触发百分比、吸气百分比等参数监测。</w:t>
            </w:r>
          </w:p>
          <w:p w14:paraId="65D190F0">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15.具有分级报警和声光报警。</w:t>
            </w:r>
          </w:p>
          <w:p w14:paraId="0DE555F9">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16.报警参数：气道高压、气道低压、呼气末压力过高/过低、总计呼吸频率过高/过低、分钟通气量过高/过低、脉率过高/过低、SPO2低、电源中断、电池电量低等。</w:t>
            </w:r>
          </w:p>
          <w:p w14:paraId="39533CB1">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17.具备截屏功能，可储存≥10000条事件记录，可储存≥160小时趋势数据，并可用U盘导出非加密文件。</w:t>
            </w:r>
          </w:p>
          <w:p w14:paraId="0F55F741">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18.具备HDMI扩展显示，无需外接转接口。（提供产品说明书关键信息页扫描件证明</w:t>
            </w:r>
            <w:r>
              <w:rPr>
                <w:rFonts w:hint="eastAsia" w:ascii="宋体" w:hAnsi="宋体" w:eastAsia="宋体" w:cs="宋体"/>
                <w:b w:val="0"/>
                <w:bCs w:val="0"/>
                <w:color w:val="auto"/>
                <w:sz w:val="21"/>
                <w:szCs w:val="21"/>
                <w:highlight w:val="none"/>
              </w:rPr>
              <w:t>并</w:t>
            </w:r>
            <w:r>
              <w:rPr>
                <w:rFonts w:hint="eastAsia" w:ascii="宋体" w:hAnsi="宋体" w:eastAsia="宋体" w:cs="宋体"/>
                <w:b w:val="0"/>
                <w:bCs w:val="0"/>
                <w:color w:val="auto"/>
                <w:sz w:val="21"/>
                <w:szCs w:val="21"/>
                <w:highlight w:val="none"/>
                <w:lang w:val="en-US" w:eastAsia="zh-CN"/>
              </w:rPr>
              <w:t>加</w:t>
            </w:r>
            <w:r>
              <w:rPr>
                <w:rFonts w:hint="eastAsia" w:ascii="宋体" w:hAnsi="宋体" w:eastAsia="宋体" w:cs="宋体"/>
                <w:b w:val="0"/>
                <w:bCs w:val="0"/>
                <w:color w:val="auto"/>
                <w:sz w:val="21"/>
                <w:szCs w:val="21"/>
                <w:highlight w:val="none"/>
              </w:rPr>
              <w:t>盖</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公章</w:t>
            </w:r>
            <w:r>
              <w:rPr>
                <w:rFonts w:hint="eastAsia" w:ascii="宋体" w:hAnsi="宋体" w:eastAsia="宋体" w:cs="宋体"/>
                <w:b w:val="0"/>
                <w:bCs w:val="0"/>
                <w:color w:val="auto"/>
                <w:sz w:val="21"/>
                <w:szCs w:val="21"/>
                <w:highlight w:val="none"/>
              </w:rPr>
              <w:t>）</w:t>
            </w:r>
          </w:p>
          <w:p w14:paraId="6E71E56A">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19.具备RS232接口、网络接口、USB接口、护士呼叫等接口。</w:t>
            </w:r>
          </w:p>
          <w:p w14:paraId="4475CB89">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20.能够通过网络联网，呼吸机的监测信息可实时显示到监护仪、中央监护站或全院监护系统，满足科室信息化的需求和呼吸机管理。</w:t>
            </w:r>
          </w:p>
          <w:p w14:paraId="2891B3F2">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三、每套配置包含但不限于：</w:t>
            </w:r>
          </w:p>
          <w:tbl>
            <w:tblPr>
              <w:tblStyle w:val="12"/>
              <w:tblW w:w="7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4774"/>
              <w:gridCol w:w="818"/>
              <w:gridCol w:w="996"/>
            </w:tblGrid>
            <w:tr w14:paraId="671E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058" w:type="dxa"/>
                  <w:noWrap w:val="0"/>
                  <w:vAlign w:val="top"/>
                </w:tcPr>
                <w:p w14:paraId="3C3BBD4F">
                  <w:pPr>
                    <w:spacing w:line="36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4774" w:type="dxa"/>
                  <w:noWrap w:val="0"/>
                  <w:vAlign w:val="top"/>
                </w:tcPr>
                <w:p w14:paraId="3A396852">
                  <w:pPr>
                    <w:spacing w:line="36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货物名称</w:t>
                  </w:r>
                </w:p>
              </w:tc>
              <w:tc>
                <w:tcPr>
                  <w:tcW w:w="818" w:type="dxa"/>
                  <w:noWrap w:val="0"/>
                  <w:vAlign w:val="top"/>
                </w:tcPr>
                <w:p w14:paraId="2AFAC84D">
                  <w:pPr>
                    <w:spacing w:line="36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数量</w:t>
                  </w:r>
                </w:p>
              </w:tc>
              <w:tc>
                <w:tcPr>
                  <w:tcW w:w="996" w:type="dxa"/>
                  <w:noWrap w:val="0"/>
                  <w:vAlign w:val="top"/>
                </w:tcPr>
                <w:p w14:paraId="7ECD8D0B">
                  <w:pPr>
                    <w:spacing w:line="36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单位</w:t>
                  </w:r>
                </w:p>
              </w:tc>
            </w:tr>
            <w:tr w14:paraId="71819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058" w:type="dxa"/>
                  <w:noWrap w:val="0"/>
                  <w:vAlign w:val="center"/>
                </w:tcPr>
                <w:p w14:paraId="14EED375">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4774" w:type="dxa"/>
                  <w:noWrap w:val="0"/>
                  <w:vAlign w:val="center"/>
                </w:tcPr>
                <w:p w14:paraId="4B7DA1B5">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主机</w:t>
                  </w:r>
                </w:p>
              </w:tc>
              <w:tc>
                <w:tcPr>
                  <w:tcW w:w="818" w:type="dxa"/>
                  <w:noWrap w:val="0"/>
                  <w:vAlign w:val="center"/>
                </w:tcPr>
                <w:p w14:paraId="730EF8F3">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96" w:type="dxa"/>
                  <w:noWrap w:val="0"/>
                  <w:vAlign w:val="center"/>
                </w:tcPr>
                <w:p w14:paraId="360EE414">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w:t>
                  </w:r>
                </w:p>
              </w:tc>
            </w:tr>
            <w:tr w14:paraId="409F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058" w:type="dxa"/>
                  <w:noWrap w:val="0"/>
                  <w:vAlign w:val="center"/>
                </w:tcPr>
                <w:p w14:paraId="540258FA">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4774" w:type="dxa"/>
                  <w:noWrap w:val="0"/>
                  <w:vAlign w:val="center"/>
                </w:tcPr>
                <w:p w14:paraId="2CE02F80">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Hans"/>
                    </w:rPr>
                    <w:t>蜗杆传动软管夹</w:t>
                  </w:r>
                </w:p>
              </w:tc>
              <w:tc>
                <w:tcPr>
                  <w:tcW w:w="818" w:type="dxa"/>
                  <w:noWrap w:val="0"/>
                  <w:vAlign w:val="center"/>
                </w:tcPr>
                <w:p w14:paraId="10F59655">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Hans"/>
                    </w:rPr>
                    <w:t>1</w:t>
                  </w:r>
                </w:p>
              </w:tc>
              <w:tc>
                <w:tcPr>
                  <w:tcW w:w="996" w:type="dxa"/>
                  <w:noWrap w:val="0"/>
                  <w:vAlign w:val="center"/>
                </w:tcPr>
                <w:p w14:paraId="52716892">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个</w:t>
                  </w:r>
                </w:p>
              </w:tc>
            </w:tr>
            <w:tr w14:paraId="1275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center"/>
                </w:tcPr>
                <w:p w14:paraId="48A056FC">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4774" w:type="dxa"/>
                  <w:noWrap w:val="0"/>
                  <w:vAlign w:val="center"/>
                </w:tcPr>
                <w:p w14:paraId="51013018">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Hans"/>
                    </w:rPr>
                    <w:t>呼吸机支臂</w:t>
                  </w:r>
                </w:p>
              </w:tc>
              <w:tc>
                <w:tcPr>
                  <w:tcW w:w="818" w:type="dxa"/>
                  <w:noWrap w:val="0"/>
                  <w:vAlign w:val="center"/>
                </w:tcPr>
                <w:p w14:paraId="5A4DAE2C">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Hans"/>
                    </w:rPr>
                    <w:t>1</w:t>
                  </w:r>
                </w:p>
              </w:tc>
              <w:tc>
                <w:tcPr>
                  <w:tcW w:w="996" w:type="dxa"/>
                  <w:noWrap w:val="0"/>
                  <w:vAlign w:val="center"/>
                </w:tcPr>
                <w:p w14:paraId="4EAD7EED">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个</w:t>
                  </w:r>
                </w:p>
              </w:tc>
            </w:tr>
            <w:tr w14:paraId="55F7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center"/>
                </w:tcPr>
                <w:p w14:paraId="4F2D6DC6">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4774" w:type="dxa"/>
                  <w:noWrap w:val="0"/>
                  <w:vAlign w:val="center"/>
                </w:tcPr>
                <w:p w14:paraId="25F855C6">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Hans"/>
                    </w:rPr>
                    <w:t>散热风扇防尘网</w:t>
                  </w:r>
                </w:p>
              </w:tc>
              <w:tc>
                <w:tcPr>
                  <w:tcW w:w="818" w:type="dxa"/>
                  <w:noWrap w:val="0"/>
                  <w:vAlign w:val="center"/>
                </w:tcPr>
                <w:p w14:paraId="68444F0A">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Hans"/>
                    </w:rPr>
                    <w:t>2</w:t>
                  </w:r>
                </w:p>
              </w:tc>
              <w:tc>
                <w:tcPr>
                  <w:tcW w:w="996" w:type="dxa"/>
                  <w:noWrap w:val="0"/>
                  <w:vAlign w:val="center"/>
                </w:tcPr>
                <w:p w14:paraId="3DCC14E3">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个</w:t>
                  </w:r>
                </w:p>
              </w:tc>
            </w:tr>
            <w:tr w14:paraId="30EE2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center"/>
                </w:tcPr>
                <w:p w14:paraId="04C2C865">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5</w:t>
                  </w:r>
                </w:p>
              </w:tc>
              <w:tc>
                <w:tcPr>
                  <w:tcW w:w="4774" w:type="dxa"/>
                  <w:noWrap w:val="0"/>
                  <w:vAlign w:val="center"/>
                </w:tcPr>
                <w:p w14:paraId="5DB899DD">
                  <w:pPr>
                    <w:spacing w:line="360" w:lineRule="auto"/>
                    <w:jc w:val="center"/>
                    <w:rPr>
                      <w:rFonts w:hint="eastAsia" w:ascii="宋体" w:hAnsi="宋体" w:eastAsia="宋体" w:cs="宋体"/>
                      <w:color w:val="auto"/>
                      <w:kern w:val="2"/>
                      <w:sz w:val="21"/>
                      <w:szCs w:val="21"/>
                      <w:highlight w:val="none"/>
                      <w:vertAlign w:val="baseline"/>
                      <w:lang w:val="en-US" w:eastAsia="zh-Hans" w:bidi="ar-SA"/>
                    </w:rPr>
                  </w:pPr>
                  <w:r>
                    <w:rPr>
                      <w:rFonts w:hint="eastAsia" w:ascii="宋体" w:hAnsi="宋体" w:eastAsia="宋体" w:cs="宋体"/>
                      <w:color w:val="auto"/>
                      <w:sz w:val="21"/>
                      <w:szCs w:val="21"/>
                      <w:highlight w:val="none"/>
                      <w:vertAlign w:val="baseline"/>
                      <w:lang w:val="en-US" w:eastAsia="zh-Hans"/>
                    </w:rPr>
                    <w:t>呼吸面罩托盘组件</w:t>
                  </w:r>
                </w:p>
              </w:tc>
              <w:tc>
                <w:tcPr>
                  <w:tcW w:w="818" w:type="dxa"/>
                  <w:noWrap w:val="0"/>
                  <w:vAlign w:val="center"/>
                </w:tcPr>
                <w:p w14:paraId="662AEC4F">
                  <w:pPr>
                    <w:spacing w:line="360" w:lineRule="auto"/>
                    <w:jc w:val="center"/>
                    <w:rPr>
                      <w:rFonts w:hint="eastAsia" w:ascii="宋体" w:hAnsi="宋体" w:eastAsia="宋体" w:cs="宋体"/>
                      <w:color w:val="auto"/>
                      <w:kern w:val="2"/>
                      <w:sz w:val="21"/>
                      <w:szCs w:val="21"/>
                      <w:highlight w:val="none"/>
                      <w:vertAlign w:val="baseline"/>
                      <w:lang w:val="en-US" w:eastAsia="zh-Hans" w:bidi="ar-SA"/>
                    </w:rPr>
                  </w:pPr>
                  <w:r>
                    <w:rPr>
                      <w:rFonts w:hint="eastAsia" w:ascii="宋体" w:hAnsi="宋体" w:eastAsia="宋体" w:cs="宋体"/>
                      <w:color w:val="auto"/>
                      <w:sz w:val="21"/>
                      <w:szCs w:val="21"/>
                      <w:highlight w:val="none"/>
                      <w:vertAlign w:val="baseline"/>
                      <w:lang w:val="en-US" w:eastAsia="zh-Hans"/>
                    </w:rPr>
                    <w:t>1</w:t>
                  </w:r>
                </w:p>
              </w:tc>
              <w:tc>
                <w:tcPr>
                  <w:tcW w:w="996" w:type="dxa"/>
                  <w:noWrap w:val="0"/>
                  <w:vAlign w:val="center"/>
                </w:tcPr>
                <w:p w14:paraId="24393AB5">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套</w:t>
                  </w:r>
                </w:p>
              </w:tc>
            </w:tr>
            <w:tr w14:paraId="706D3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center"/>
                </w:tcPr>
                <w:p w14:paraId="4E95E029">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6</w:t>
                  </w:r>
                </w:p>
              </w:tc>
              <w:tc>
                <w:tcPr>
                  <w:tcW w:w="4774" w:type="dxa"/>
                  <w:noWrap w:val="0"/>
                  <w:vAlign w:val="center"/>
                </w:tcPr>
                <w:p w14:paraId="22A87B65">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Hans"/>
                    </w:rPr>
                    <w:t>呼吸管路</w:t>
                  </w:r>
                </w:p>
              </w:tc>
              <w:tc>
                <w:tcPr>
                  <w:tcW w:w="818" w:type="dxa"/>
                  <w:noWrap w:val="0"/>
                  <w:vAlign w:val="center"/>
                </w:tcPr>
                <w:p w14:paraId="2036CFC2">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96" w:type="dxa"/>
                  <w:noWrap w:val="0"/>
                  <w:vAlign w:val="center"/>
                </w:tcPr>
                <w:p w14:paraId="1EB0190C">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套</w:t>
                  </w:r>
                </w:p>
              </w:tc>
            </w:tr>
            <w:tr w14:paraId="1B3A1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center"/>
                </w:tcPr>
                <w:p w14:paraId="6104C98A">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7</w:t>
                  </w:r>
                </w:p>
              </w:tc>
              <w:tc>
                <w:tcPr>
                  <w:tcW w:w="4774" w:type="dxa"/>
                  <w:noWrap w:val="0"/>
                  <w:vAlign w:val="center"/>
                </w:tcPr>
                <w:p w14:paraId="058DE020">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Hans"/>
                    </w:rPr>
                    <w:t>细菌过滤器</w:t>
                  </w:r>
                </w:p>
              </w:tc>
              <w:tc>
                <w:tcPr>
                  <w:tcW w:w="818" w:type="dxa"/>
                  <w:noWrap w:val="0"/>
                  <w:vAlign w:val="center"/>
                </w:tcPr>
                <w:p w14:paraId="62BDA17D">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996" w:type="dxa"/>
                  <w:noWrap w:val="0"/>
                  <w:vAlign w:val="center"/>
                </w:tcPr>
                <w:p w14:paraId="0E67C2AF">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个</w:t>
                  </w:r>
                </w:p>
              </w:tc>
            </w:tr>
            <w:tr w14:paraId="5500D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center"/>
                </w:tcPr>
                <w:p w14:paraId="286C54E3">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8</w:t>
                  </w:r>
                </w:p>
              </w:tc>
              <w:tc>
                <w:tcPr>
                  <w:tcW w:w="4774" w:type="dxa"/>
                  <w:noWrap w:val="0"/>
                  <w:vAlign w:val="center"/>
                </w:tcPr>
                <w:p w14:paraId="0D6EB70A">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Hans"/>
                    </w:rPr>
                    <w:t>面罩</w:t>
                  </w:r>
                </w:p>
              </w:tc>
              <w:tc>
                <w:tcPr>
                  <w:tcW w:w="818" w:type="dxa"/>
                  <w:noWrap w:val="0"/>
                  <w:vAlign w:val="center"/>
                </w:tcPr>
                <w:p w14:paraId="613641AE">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96" w:type="dxa"/>
                  <w:noWrap w:val="0"/>
                  <w:vAlign w:val="center"/>
                </w:tcPr>
                <w:p w14:paraId="4569033C">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个</w:t>
                  </w:r>
                </w:p>
              </w:tc>
            </w:tr>
            <w:tr w14:paraId="77405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center"/>
                </w:tcPr>
                <w:p w14:paraId="698FAFEA">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9</w:t>
                  </w:r>
                </w:p>
              </w:tc>
              <w:tc>
                <w:tcPr>
                  <w:tcW w:w="4774" w:type="dxa"/>
                  <w:noWrap w:val="0"/>
                  <w:vAlign w:val="center"/>
                </w:tcPr>
                <w:p w14:paraId="26884C84">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Hans"/>
                    </w:rPr>
                    <w:t>过滤棉</w:t>
                  </w:r>
                </w:p>
              </w:tc>
              <w:tc>
                <w:tcPr>
                  <w:tcW w:w="818" w:type="dxa"/>
                  <w:noWrap w:val="0"/>
                  <w:vAlign w:val="center"/>
                </w:tcPr>
                <w:p w14:paraId="263D2223">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996" w:type="dxa"/>
                  <w:noWrap w:val="0"/>
                  <w:vAlign w:val="center"/>
                </w:tcPr>
                <w:p w14:paraId="37F17D7F">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片</w:t>
                  </w:r>
                </w:p>
              </w:tc>
            </w:tr>
            <w:tr w14:paraId="5703C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center"/>
                </w:tcPr>
                <w:p w14:paraId="7E85A251">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10</w:t>
                  </w:r>
                </w:p>
              </w:tc>
              <w:tc>
                <w:tcPr>
                  <w:tcW w:w="4774" w:type="dxa"/>
                  <w:noWrap w:val="0"/>
                  <w:vAlign w:val="center"/>
                </w:tcPr>
                <w:p w14:paraId="7DC4BE93">
                  <w:pPr>
                    <w:spacing w:line="360" w:lineRule="auto"/>
                    <w:jc w:val="center"/>
                    <w:rPr>
                      <w:rFonts w:hint="eastAsia" w:ascii="宋体" w:hAnsi="宋体" w:eastAsia="宋体" w:cs="宋体"/>
                      <w:color w:val="auto"/>
                      <w:kern w:val="2"/>
                      <w:sz w:val="21"/>
                      <w:szCs w:val="21"/>
                      <w:highlight w:val="none"/>
                      <w:vertAlign w:val="baseline"/>
                      <w:lang w:val="en-US" w:eastAsia="zh-Hans" w:bidi="ar-SA"/>
                    </w:rPr>
                  </w:pPr>
                  <w:r>
                    <w:rPr>
                      <w:rFonts w:hint="eastAsia" w:ascii="宋体" w:hAnsi="宋体" w:eastAsia="宋体" w:cs="宋体"/>
                      <w:color w:val="auto"/>
                      <w:sz w:val="21"/>
                      <w:szCs w:val="21"/>
                      <w:highlight w:val="none"/>
                      <w:vertAlign w:val="baseline"/>
                      <w:lang w:val="en-US" w:eastAsia="zh-Hans"/>
                    </w:rPr>
                    <w:t>国标电源线</w:t>
                  </w:r>
                </w:p>
              </w:tc>
              <w:tc>
                <w:tcPr>
                  <w:tcW w:w="818" w:type="dxa"/>
                  <w:noWrap w:val="0"/>
                  <w:vAlign w:val="center"/>
                </w:tcPr>
                <w:p w14:paraId="7A16F1C2">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1</w:t>
                  </w:r>
                </w:p>
              </w:tc>
              <w:tc>
                <w:tcPr>
                  <w:tcW w:w="996" w:type="dxa"/>
                  <w:noWrap w:val="0"/>
                  <w:vAlign w:val="center"/>
                </w:tcPr>
                <w:p w14:paraId="263CE556">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根</w:t>
                  </w:r>
                </w:p>
              </w:tc>
            </w:tr>
            <w:tr w14:paraId="02729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center"/>
                </w:tcPr>
                <w:p w14:paraId="44634761">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11</w:t>
                  </w:r>
                </w:p>
              </w:tc>
              <w:tc>
                <w:tcPr>
                  <w:tcW w:w="4774" w:type="dxa"/>
                  <w:noWrap w:val="0"/>
                  <w:vAlign w:val="center"/>
                </w:tcPr>
                <w:p w14:paraId="08258590">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Hans"/>
                    </w:rPr>
                    <w:t>氧气软管</w:t>
                  </w:r>
                </w:p>
              </w:tc>
              <w:tc>
                <w:tcPr>
                  <w:tcW w:w="818" w:type="dxa"/>
                  <w:noWrap w:val="0"/>
                  <w:vAlign w:val="center"/>
                </w:tcPr>
                <w:p w14:paraId="00BBE0D7">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96" w:type="dxa"/>
                  <w:noWrap w:val="0"/>
                  <w:vAlign w:val="center"/>
                </w:tcPr>
                <w:p w14:paraId="35F64142">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根</w:t>
                  </w:r>
                </w:p>
              </w:tc>
            </w:tr>
            <w:tr w14:paraId="1182A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center"/>
                </w:tcPr>
                <w:p w14:paraId="1F877B53">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12</w:t>
                  </w:r>
                </w:p>
              </w:tc>
              <w:tc>
                <w:tcPr>
                  <w:tcW w:w="4774" w:type="dxa"/>
                  <w:noWrap w:val="0"/>
                  <w:vAlign w:val="center"/>
                </w:tcPr>
                <w:p w14:paraId="606FD499">
                  <w:pPr>
                    <w:spacing w:line="360" w:lineRule="auto"/>
                    <w:jc w:val="center"/>
                    <w:rPr>
                      <w:rFonts w:hint="eastAsia" w:ascii="宋体" w:hAnsi="宋体" w:eastAsia="宋体" w:cs="宋体"/>
                      <w:color w:val="auto"/>
                      <w:sz w:val="21"/>
                      <w:szCs w:val="21"/>
                      <w:highlight w:val="none"/>
                      <w:vertAlign w:val="baseline"/>
                      <w:lang w:val="en-US" w:eastAsia="zh-Hans"/>
                    </w:rPr>
                  </w:pPr>
                  <w:r>
                    <w:rPr>
                      <w:rFonts w:hint="eastAsia" w:ascii="宋体" w:hAnsi="宋体" w:eastAsia="宋体" w:cs="宋体"/>
                      <w:color w:val="auto"/>
                      <w:sz w:val="21"/>
                      <w:szCs w:val="21"/>
                      <w:highlight w:val="none"/>
                      <w:vertAlign w:val="baseline"/>
                      <w:lang w:val="en-US" w:eastAsia="zh-Hans"/>
                    </w:rPr>
                    <w:t>氧气插头</w:t>
                  </w:r>
                </w:p>
              </w:tc>
              <w:tc>
                <w:tcPr>
                  <w:tcW w:w="818" w:type="dxa"/>
                  <w:noWrap w:val="0"/>
                  <w:vAlign w:val="center"/>
                </w:tcPr>
                <w:p w14:paraId="48EFD09B">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Hans"/>
                    </w:rPr>
                    <w:t>1</w:t>
                  </w:r>
                </w:p>
              </w:tc>
              <w:tc>
                <w:tcPr>
                  <w:tcW w:w="996" w:type="dxa"/>
                  <w:noWrap w:val="0"/>
                  <w:vAlign w:val="center"/>
                </w:tcPr>
                <w:p w14:paraId="1A6A67AE">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个</w:t>
                  </w:r>
                </w:p>
              </w:tc>
            </w:tr>
            <w:tr w14:paraId="1FD3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center"/>
                </w:tcPr>
                <w:p w14:paraId="4649E147">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13</w:t>
                  </w:r>
                </w:p>
              </w:tc>
              <w:tc>
                <w:tcPr>
                  <w:tcW w:w="4774" w:type="dxa"/>
                  <w:noWrap w:val="0"/>
                  <w:vAlign w:val="center"/>
                </w:tcPr>
                <w:p w14:paraId="3447B03F">
                  <w:pPr>
                    <w:spacing w:line="360" w:lineRule="auto"/>
                    <w:jc w:val="center"/>
                    <w:rPr>
                      <w:rFonts w:hint="eastAsia" w:ascii="宋体" w:hAnsi="宋体" w:eastAsia="宋体" w:cs="宋体"/>
                      <w:color w:val="auto"/>
                      <w:kern w:val="2"/>
                      <w:sz w:val="21"/>
                      <w:szCs w:val="21"/>
                      <w:highlight w:val="none"/>
                      <w:vertAlign w:val="baseline"/>
                      <w:lang w:val="en-US" w:eastAsia="zh-Hans" w:bidi="ar-SA"/>
                    </w:rPr>
                  </w:pPr>
                  <w:r>
                    <w:rPr>
                      <w:rFonts w:hint="eastAsia" w:ascii="宋体" w:hAnsi="宋体" w:eastAsia="宋体" w:cs="宋体"/>
                      <w:color w:val="auto"/>
                      <w:sz w:val="21"/>
                      <w:szCs w:val="21"/>
                      <w:highlight w:val="none"/>
                      <w:vertAlign w:val="baseline"/>
                      <w:lang w:val="en-US" w:eastAsia="zh-CN"/>
                    </w:rPr>
                    <w:t>使用说明书</w:t>
                  </w:r>
                </w:p>
              </w:tc>
              <w:tc>
                <w:tcPr>
                  <w:tcW w:w="818" w:type="dxa"/>
                  <w:noWrap w:val="0"/>
                  <w:vAlign w:val="center"/>
                </w:tcPr>
                <w:p w14:paraId="1E4616B4">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1</w:t>
                  </w:r>
                </w:p>
              </w:tc>
              <w:tc>
                <w:tcPr>
                  <w:tcW w:w="996" w:type="dxa"/>
                  <w:noWrap w:val="0"/>
                  <w:vAlign w:val="center"/>
                </w:tcPr>
                <w:p w14:paraId="44CB12AF">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本</w:t>
                  </w:r>
                </w:p>
              </w:tc>
            </w:tr>
            <w:tr w14:paraId="3FB7F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center"/>
                </w:tcPr>
                <w:p w14:paraId="0C72F20F">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14</w:t>
                  </w:r>
                </w:p>
              </w:tc>
              <w:tc>
                <w:tcPr>
                  <w:tcW w:w="4774" w:type="dxa"/>
                  <w:noWrap w:val="0"/>
                  <w:vAlign w:val="center"/>
                </w:tcPr>
                <w:p w14:paraId="4806D411">
                  <w:pPr>
                    <w:spacing w:line="360" w:lineRule="auto"/>
                    <w:jc w:val="center"/>
                    <w:rPr>
                      <w:rFonts w:hint="eastAsia" w:ascii="宋体" w:hAnsi="宋体" w:eastAsia="宋体" w:cs="宋体"/>
                      <w:color w:val="auto"/>
                      <w:kern w:val="2"/>
                      <w:sz w:val="21"/>
                      <w:szCs w:val="21"/>
                      <w:highlight w:val="none"/>
                      <w:vertAlign w:val="baseline"/>
                      <w:lang w:val="en-US" w:eastAsia="zh-Hans" w:bidi="ar-SA"/>
                    </w:rPr>
                  </w:pPr>
                  <w:r>
                    <w:rPr>
                      <w:rFonts w:hint="eastAsia" w:ascii="宋体" w:hAnsi="宋体" w:eastAsia="宋体" w:cs="宋体"/>
                      <w:color w:val="auto"/>
                      <w:sz w:val="21"/>
                      <w:szCs w:val="21"/>
                      <w:highlight w:val="none"/>
                      <w:vertAlign w:val="baseline"/>
                      <w:lang w:val="en-US" w:eastAsia="zh-Hans"/>
                    </w:rPr>
                    <w:t>快速操作指南</w:t>
                  </w:r>
                </w:p>
              </w:tc>
              <w:tc>
                <w:tcPr>
                  <w:tcW w:w="818" w:type="dxa"/>
                  <w:noWrap w:val="0"/>
                  <w:vAlign w:val="center"/>
                </w:tcPr>
                <w:p w14:paraId="6CE9A33D">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1</w:t>
                  </w:r>
                </w:p>
              </w:tc>
              <w:tc>
                <w:tcPr>
                  <w:tcW w:w="996" w:type="dxa"/>
                  <w:noWrap w:val="0"/>
                  <w:vAlign w:val="center"/>
                </w:tcPr>
                <w:p w14:paraId="6239FFAF">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份</w:t>
                  </w:r>
                </w:p>
              </w:tc>
            </w:tr>
          </w:tbl>
          <w:p w14:paraId="029035FE">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highlight w:val="none"/>
              </w:rPr>
            </w:pPr>
          </w:p>
          <w:p w14:paraId="07438ADC">
            <w:pPr>
              <w:pStyle w:val="20"/>
              <w:spacing w:line="360" w:lineRule="auto"/>
              <w:rPr>
                <w:rFonts w:hint="eastAsia" w:ascii="宋体" w:hAnsi="宋体" w:eastAsia="宋体" w:cs="宋体"/>
                <w:color w:val="auto"/>
                <w:sz w:val="21"/>
                <w:szCs w:val="21"/>
                <w:highlight w:val="none"/>
              </w:rPr>
            </w:pPr>
          </w:p>
          <w:p w14:paraId="45341F6C">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注：1.以技术（参数）要求序号最细的（如</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与1.</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之间，</w:t>
            </w: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为最细序号）作为一项参数。</w:t>
            </w:r>
          </w:p>
          <w:p w14:paraId="6067EE93">
            <w:pPr>
              <w:pStyle w:val="17"/>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2.投标人应对“2.技术标准与要求”中的各个条款在投标文件格式的《技术和服务要求响应表》中作出响应。</w:t>
            </w:r>
          </w:p>
        </w:tc>
      </w:tr>
      <w:tr w14:paraId="1BD8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491" w:type="dxa"/>
            <w:noWrap w:val="0"/>
            <w:vAlign w:val="center"/>
          </w:tcPr>
          <w:p w14:paraId="716C9B42">
            <w:pPr>
              <w:keepNext/>
              <w:keepLines/>
              <w:adjustRightInd w:val="0"/>
              <w:spacing w:line="360" w:lineRule="auto"/>
              <w:jc w:val="center"/>
              <w:textAlignment w:val="baseline"/>
              <w:outlineLvl w:val="1"/>
              <w:rPr>
                <w:rFonts w:hint="eastAsia" w:ascii="宋体" w:hAnsi="宋体" w:eastAsia="宋体" w:cs="宋体"/>
                <w:bCs/>
                <w:color w:val="auto"/>
                <w:kern w:val="0"/>
                <w:szCs w:val="21"/>
                <w:highlight w:val="none"/>
              </w:rPr>
            </w:pPr>
            <w:bookmarkStart w:id="21" w:name="_Toc32097"/>
            <w:r>
              <w:rPr>
                <w:rFonts w:hint="eastAsia" w:ascii="宋体" w:hAnsi="宋体" w:eastAsia="宋体" w:cs="宋体"/>
                <w:bCs/>
                <w:color w:val="auto"/>
                <w:kern w:val="0"/>
                <w:szCs w:val="21"/>
                <w:highlight w:val="none"/>
              </w:rPr>
              <w:t>说明</w:t>
            </w:r>
            <w:bookmarkEnd w:id="21"/>
          </w:p>
        </w:tc>
        <w:tc>
          <w:tcPr>
            <w:tcW w:w="8904" w:type="dxa"/>
            <w:gridSpan w:val="2"/>
            <w:noWrap w:val="0"/>
            <w:vAlign w:val="center"/>
          </w:tcPr>
          <w:p w14:paraId="73FFB894">
            <w:pPr>
              <w:keepNext/>
              <w:keepLines/>
              <w:adjustRightInd w:val="0"/>
              <w:spacing w:line="360" w:lineRule="auto"/>
              <w:jc w:val="left"/>
              <w:textAlignment w:val="baseline"/>
              <w:outlineLvl w:val="1"/>
              <w:rPr>
                <w:rFonts w:hint="eastAsia" w:ascii="宋体" w:hAnsi="宋体" w:eastAsia="宋体" w:cs="宋体"/>
                <w:bCs/>
                <w:color w:val="auto"/>
                <w:kern w:val="0"/>
                <w:szCs w:val="21"/>
                <w:highlight w:val="none"/>
              </w:rPr>
            </w:pPr>
            <w:bookmarkStart w:id="22" w:name="_Toc30336"/>
            <w:r>
              <w:rPr>
                <w:rFonts w:hint="eastAsia" w:ascii="宋体" w:hAnsi="宋体" w:eastAsia="宋体" w:cs="宋体"/>
                <w:bCs/>
                <w:color w:val="auto"/>
                <w:kern w:val="0"/>
                <w:szCs w:val="21"/>
                <w:highlight w:val="none"/>
              </w:rPr>
              <w:t>打“★”号条款为实质性条款，若有任何一条负偏离或不满足则导致投标（响应）无效。</w:t>
            </w:r>
            <w:bookmarkEnd w:id="22"/>
          </w:p>
          <w:p w14:paraId="661425BD">
            <w:pPr>
              <w:keepNext/>
              <w:keepLines/>
              <w:adjustRightInd w:val="0"/>
              <w:spacing w:line="360" w:lineRule="auto"/>
              <w:jc w:val="left"/>
              <w:textAlignment w:val="baseline"/>
              <w:outlineLvl w:val="1"/>
              <w:rPr>
                <w:rFonts w:hint="eastAsia" w:ascii="宋体" w:hAnsi="宋体" w:eastAsia="宋体" w:cs="宋体"/>
                <w:bCs/>
                <w:color w:val="auto"/>
                <w:kern w:val="0"/>
                <w:szCs w:val="21"/>
                <w:highlight w:val="none"/>
              </w:rPr>
            </w:pPr>
            <w:bookmarkStart w:id="23" w:name="_Toc31913"/>
            <w:r>
              <w:rPr>
                <w:rFonts w:hint="eastAsia" w:ascii="宋体" w:hAnsi="宋体" w:eastAsia="宋体" w:cs="宋体"/>
                <w:bCs/>
                <w:color w:val="auto"/>
                <w:kern w:val="0"/>
                <w:szCs w:val="21"/>
                <w:highlight w:val="none"/>
              </w:rPr>
              <w:t>打“▲”号条款为重要技术参数（如有），若有部分“▲”条款未响应或不满足，将根据评审要求影响其得分，但不作为无效投标（响应）条款。</w:t>
            </w:r>
            <w:bookmarkEnd w:id="23"/>
          </w:p>
        </w:tc>
      </w:tr>
    </w:tbl>
    <w:p w14:paraId="2AADCF70">
      <w:pPr>
        <w:pStyle w:val="9"/>
        <w:spacing w:line="360" w:lineRule="auto"/>
        <w:jc w:val="left"/>
        <w:rPr>
          <w:rFonts w:hint="eastAsia" w:ascii="宋体" w:hAnsi="宋体" w:eastAsia="宋体" w:cs="宋体"/>
          <w:color w:val="auto"/>
          <w:sz w:val="24"/>
          <w:szCs w:val="24"/>
          <w:highlight w:val="none"/>
        </w:rPr>
      </w:pPr>
    </w:p>
    <w:p w14:paraId="6BA9C26C">
      <w:pPr>
        <w:keepNext/>
        <w:keepLines/>
        <w:adjustRightInd w:val="0"/>
        <w:spacing w:line="360" w:lineRule="auto"/>
        <w:jc w:val="left"/>
        <w:textAlignment w:val="baseline"/>
        <w:outlineLvl w:val="1"/>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rPr>
        <w:t>附</w:t>
      </w:r>
      <w:r>
        <w:rPr>
          <w:rFonts w:hint="eastAsia" w:ascii="宋体" w:hAnsi="宋体" w:eastAsia="宋体" w:cs="宋体"/>
          <w:b/>
          <w:bCs w:val="0"/>
          <w:color w:val="auto"/>
          <w:kern w:val="0"/>
          <w:sz w:val="24"/>
          <w:szCs w:val="24"/>
          <w:highlight w:val="none"/>
        </w:rPr>
        <w:t>表</w:t>
      </w:r>
      <w:r>
        <w:rPr>
          <w:rFonts w:hint="eastAsia" w:ascii="宋体" w:hAnsi="宋体" w:eastAsia="宋体" w:cs="宋体"/>
          <w:b/>
          <w:bCs w:val="0"/>
          <w:color w:val="auto"/>
          <w:kern w:val="0"/>
          <w:sz w:val="24"/>
          <w:szCs w:val="24"/>
          <w:highlight w:val="none"/>
          <w:lang w:val="en-US" w:eastAsia="zh-CN"/>
        </w:rPr>
        <w:t>二</w:t>
      </w:r>
      <w:r>
        <w:rPr>
          <w:rFonts w:hint="eastAsia" w:ascii="宋体" w:hAnsi="宋体" w:eastAsia="宋体" w:cs="宋体"/>
          <w:b/>
          <w:color w:val="auto"/>
          <w:kern w:val="0"/>
          <w:sz w:val="24"/>
          <w:szCs w:val="24"/>
          <w:highlight w:val="none"/>
        </w:rPr>
        <w:t>：</w:t>
      </w:r>
      <w:r>
        <w:rPr>
          <w:rFonts w:hint="eastAsia" w:ascii="宋体" w:hAnsi="宋体" w:cs="宋体"/>
          <w:b/>
          <w:color w:val="auto"/>
          <w:kern w:val="0"/>
          <w:sz w:val="24"/>
          <w:szCs w:val="24"/>
          <w:highlight w:val="none"/>
          <w:lang w:eastAsia="zh-CN"/>
        </w:rPr>
        <w:t>有创呼吸机</w:t>
      </w:r>
    </w:p>
    <w:tbl>
      <w:tblPr>
        <w:tblStyle w:val="12"/>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450"/>
        <w:gridCol w:w="8454"/>
      </w:tblGrid>
      <w:tr w14:paraId="7A857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491" w:type="dxa"/>
            <w:shd w:val="clear" w:color="auto" w:fill="EEECE1"/>
            <w:noWrap w:val="0"/>
            <w:vAlign w:val="center"/>
          </w:tcPr>
          <w:p w14:paraId="0C224230">
            <w:pPr>
              <w:keepNext/>
              <w:keepLines/>
              <w:adjustRightInd w:val="0"/>
              <w:spacing w:line="360" w:lineRule="auto"/>
              <w:jc w:val="center"/>
              <w:textAlignment w:val="baseline"/>
              <w:outlineLvl w:val="1"/>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参数性质</w:t>
            </w:r>
          </w:p>
        </w:tc>
        <w:tc>
          <w:tcPr>
            <w:tcW w:w="450" w:type="dxa"/>
            <w:shd w:val="clear" w:color="auto" w:fill="EEECE1"/>
            <w:noWrap w:val="0"/>
            <w:vAlign w:val="center"/>
          </w:tcPr>
          <w:p w14:paraId="376B9EAC">
            <w:pPr>
              <w:keepNext/>
              <w:keepLines/>
              <w:adjustRightInd w:val="0"/>
              <w:spacing w:line="360" w:lineRule="auto"/>
              <w:jc w:val="center"/>
              <w:textAlignment w:val="baseline"/>
              <w:outlineLvl w:val="1"/>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8454" w:type="dxa"/>
            <w:shd w:val="clear" w:color="auto" w:fill="EEECE1"/>
            <w:noWrap w:val="0"/>
            <w:vAlign w:val="center"/>
          </w:tcPr>
          <w:p w14:paraId="4C18746A">
            <w:pPr>
              <w:keepNext/>
              <w:keepLines/>
              <w:adjustRightInd w:val="0"/>
              <w:spacing w:line="360" w:lineRule="auto"/>
              <w:jc w:val="center"/>
              <w:textAlignment w:val="baseline"/>
              <w:outlineLvl w:val="1"/>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具体技术（参数）要求</w:t>
            </w:r>
          </w:p>
        </w:tc>
      </w:tr>
      <w:tr w14:paraId="552D4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noWrap w:val="0"/>
            <w:vAlign w:val="center"/>
          </w:tcPr>
          <w:p w14:paraId="6ED6C732">
            <w:pPr>
              <w:keepNext/>
              <w:keepLines/>
              <w:adjustRightInd w:val="0"/>
              <w:spacing w:line="360" w:lineRule="auto"/>
              <w:jc w:val="center"/>
              <w:textAlignment w:val="baseline"/>
              <w:rPr>
                <w:rFonts w:hint="eastAsia" w:ascii="宋体" w:hAnsi="宋体" w:eastAsia="宋体" w:cs="宋体"/>
                <w:bCs/>
                <w:color w:val="auto"/>
                <w:kern w:val="0"/>
                <w:szCs w:val="21"/>
                <w:highlight w:val="none"/>
              </w:rPr>
            </w:pPr>
          </w:p>
        </w:tc>
        <w:tc>
          <w:tcPr>
            <w:tcW w:w="450" w:type="dxa"/>
            <w:noWrap w:val="0"/>
            <w:vAlign w:val="center"/>
          </w:tcPr>
          <w:p w14:paraId="505487E4">
            <w:pPr>
              <w:keepNext/>
              <w:keepLines/>
              <w:adjustRightInd w:val="0"/>
              <w:spacing w:line="360" w:lineRule="auto"/>
              <w:jc w:val="center"/>
              <w:textAlignment w:val="baseline"/>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w:t>
            </w:r>
          </w:p>
        </w:tc>
        <w:tc>
          <w:tcPr>
            <w:tcW w:w="8454" w:type="dxa"/>
            <w:noWrap w:val="0"/>
            <w:vAlign w:val="bottom"/>
          </w:tcPr>
          <w:p w14:paraId="0D86367C">
            <w:pPr>
              <w:pStyle w:val="16"/>
              <w:keepNext w:val="0"/>
              <w:keepLines w:val="0"/>
              <w:pageBreakBefore w:val="0"/>
              <w:numPr>
                <w:ilvl w:val="0"/>
                <w:numId w:val="0"/>
              </w:numPr>
              <w:kinsoku/>
              <w:wordWrap/>
              <w:overflowPunct/>
              <w:topLinePunct w:val="0"/>
              <w:autoSpaceDE/>
              <w:autoSpaceDN/>
              <w:bidi w:val="0"/>
              <w:adjustRightInd/>
              <w:snapToGrid/>
              <w:spacing w:line="360" w:lineRule="auto"/>
              <w:ind w:left="0" w:firstLine="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★一、产品要求：投标产品须为具有《医疗器械注册证》的产品。（提供《医疗器械注册证》并加盖投标人公章）</w:t>
            </w:r>
          </w:p>
          <w:p w14:paraId="6F19ECE3">
            <w:pPr>
              <w:pStyle w:val="1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val="0"/>
                <w:color w:val="auto"/>
                <w:kern w:val="2"/>
                <w:sz w:val="21"/>
                <w:szCs w:val="21"/>
                <w:highlight w:val="none"/>
                <w:lang w:val="en-US" w:eastAsia="zh-CN" w:bidi="ar-SA"/>
              </w:rPr>
              <w:t>二、</w:t>
            </w:r>
            <w:r>
              <w:rPr>
                <w:rFonts w:hint="eastAsia" w:ascii="宋体" w:hAnsi="宋体" w:eastAsia="宋体" w:cs="宋体"/>
                <w:b/>
                <w:color w:val="auto"/>
                <w:sz w:val="21"/>
                <w:szCs w:val="21"/>
                <w:highlight w:val="none"/>
              </w:rPr>
              <w:t>主要技术参数：</w:t>
            </w:r>
          </w:p>
          <w:p w14:paraId="7E25B1C2">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1、设备基本要求</w:t>
            </w:r>
          </w:p>
          <w:p w14:paraId="532CED34">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 适用于成人、小儿患者通气辅助及呼吸支持。</w:t>
            </w:r>
          </w:p>
          <w:p w14:paraId="0175CF99">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 整机为气动电控设计（空、氧双气源），支持中央供气和空气压缩机双方式驱动工作。</w:t>
            </w:r>
          </w:p>
          <w:p w14:paraId="394B7C23">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1.3 具备维护氧气气源过滤芯的外置结构，便于更换氧气气源过滤器。</w:t>
            </w:r>
          </w:p>
          <w:p w14:paraId="2FA86130">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1.4 吸气阀呼气阀外观可区分，避免误装。</w:t>
            </w:r>
          </w:p>
          <w:p w14:paraId="26FD15A7">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1.5 标配压差式流量传感器。</w:t>
            </w:r>
          </w:p>
          <w:p w14:paraId="267570B0">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2、显示要求</w:t>
            </w:r>
          </w:p>
          <w:p w14:paraId="084A0426">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2.1显示屏≥18英寸彩色触摸屏，分辨率≥1920*1080像素，支持手势滑动操作和戴无菌手套操作。</w:t>
            </w:r>
          </w:p>
          <w:p w14:paraId="5984FB30">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2.2具备动态肺视图，能实时图形化动态显示患者气道阻抗、肺顺应性、通气量等力学参数变化，动态肺视图包含肺损伤、肺塌陷风险提示。（肺损伤、肺塌陷视图提示需提供机器截图、说明书版本号以及说明书内容证明符合招标要求</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上述资料加</w:t>
            </w:r>
            <w:r>
              <w:rPr>
                <w:rFonts w:hint="eastAsia" w:ascii="宋体" w:hAnsi="宋体" w:eastAsia="宋体" w:cs="宋体"/>
                <w:b w:val="0"/>
                <w:bCs w:val="0"/>
                <w:color w:val="auto"/>
                <w:sz w:val="21"/>
                <w:szCs w:val="21"/>
                <w:highlight w:val="none"/>
              </w:rPr>
              <w:t>盖</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公章</w:t>
            </w:r>
            <w:r>
              <w:rPr>
                <w:rFonts w:hint="eastAsia" w:ascii="宋体" w:hAnsi="宋体" w:eastAsia="宋体" w:cs="宋体"/>
                <w:b w:val="0"/>
                <w:bCs w:val="0"/>
                <w:color w:val="auto"/>
                <w:sz w:val="21"/>
                <w:szCs w:val="21"/>
                <w:highlight w:val="none"/>
              </w:rPr>
              <w:t>）</w:t>
            </w:r>
          </w:p>
          <w:p w14:paraId="0BC46531">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2.3具备肺损伤、肺塌陷对应参数柱状图风险提示。（提供机器截图证明符合招标要求</w:t>
            </w:r>
            <w:r>
              <w:rPr>
                <w:rFonts w:hint="eastAsia" w:ascii="宋体" w:hAnsi="宋体" w:eastAsia="宋体" w:cs="宋体"/>
                <w:b w:val="0"/>
                <w:bCs w:val="0"/>
                <w:color w:val="auto"/>
                <w:sz w:val="21"/>
                <w:szCs w:val="21"/>
                <w:highlight w:val="none"/>
              </w:rPr>
              <w:t>并</w:t>
            </w:r>
            <w:r>
              <w:rPr>
                <w:rFonts w:hint="eastAsia" w:ascii="宋体" w:hAnsi="宋体" w:eastAsia="宋体" w:cs="宋体"/>
                <w:b w:val="0"/>
                <w:bCs w:val="0"/>
                <w:color w:val="auto"/>
                <w:sz w:val="21"/>
                <w:szCs w:val="21"/>
                <w:highlight w:val="none"/>
                <w:lang w:val="en-US" w:eastAsia="zh-CN"/>
              </w:rPr>
              <w:t>加</w:t>
            </w:r>
            <w:r>
              <w:rPr>
                <w:rFonts w:hint="eastAsia" w:ascii="宋体" w:hAnsi="宋体" w:eastAsia="宋体" w:cs="宋体"/>
                <w:b w:val="0"/>
                <w:bCs w:val="0"/>
                <w:color w:val="auto"/>
                <w:sz w:val="21"/>
                <w:szCs w:val="21"/>
                <w:highlight w:val="none"/>
              </w:rPr>
              <w:t>盖</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公章</w:t>
            </w:r>
            <w:r>
              <w:rPr>
                <w:rFonts w:hint="eastAsia" w:ascii="宋体" w:hAnsi="宋体" w:eastAsia="宋体" w:cs="宋体"/>
                <w:b w:val="0"/>
                <w:bCs w:val="0"/>
                <w:color w:val="auto"/>
                <w:sz w:val="21"/>
                <w:szCs w:val="21"/>
                <w:highlight w:val="none"/>
              </w:rPr>
              <w:t>）</w:t>
            </w:r>
          </w:p>
          <w:p w14:paraId="4023D3AF">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2.4开关机按键在屏幕正面，避免发生误触，造成使用风险</w:t>
            </w:r>
          </w:p>
          <w:p w14:paraId="5AEE4141">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3、呼吸模式及功能</w:t>
            </w:r>
          </w:p>
          <w:p w14:paraId="31F8A7E5">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具备容量控制/辅助通气模式V-A/C和容量同步间歇指令通气模式V-SIMV（容量模式流速波形可调方波、50%和100%递减波）；压力控制/辅助通气模式P-A/C和压力同步间歇指令通气模式P-SIMV；持续气道正压通气模式/压力支持通气模式CPAP/PSV、窒息通气模式等。</w:t>
            </w:r>
          </w:p>
          <w:p w14:paraId="2FB76A08">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按用户需求可升级高级模式：压力调节容量控制通气（如AUTOFLOW或PRVC等）、压力调节容量控制-同步间歇指令通气模式（PRVC-SIMV）；双水平气道正压通气模式（如BIPAP或DuoLevel或BiLevel）、气道压力释放通气APRV；容量支持通气VS；自适应分钟通气AMV（或自适应支持通气ASV等以Otis公式患者最小呼吸做功为通气目标的智能通气模式）。 （提供设备说明书或检测报告</w:t>
            </w:r>
            <w:r>
              <w:rPr>
                <w:rFonts w:hint="eastAsia" w:ascii="宋体" w:hAnsi="宋体" w:eastAsia="宋体" w:cs="宋体"/>
                <w:b w:val="0"/>
                <w:bCs w:val="0"/>
                <w:color w:val="auto"/>
                <w:sz w:val="21"/>
                <w:szCs w:val="21"/>
                <w:highlight w:val="none"/>
                <w:lang w:val="en-US" w:eastAsia="zh-CN"/>
              </w:rPr>
              <w:t>并</w:t>
            </w:r>
            <w:r>
              <w:rPr>
                <w:rFonts w:hint="eastAsia" w:ascii="宋体" w:hAnsi="宋体" w:eastAsia="宋体" w:cs="宋体"/>
                <w:b w:val="0"/>
                <w:bCs w:val="0"/>
                <w:color w:val="auto"/>
                <w:sz w:val="21"/>
                <w:szCs w:val="21"/>
                <w:highlight w:val="none"/>
              </w:rPr>
              <w:t>加盖</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公章）</w:t>
            </w:r>
          </w:p>
          <w:p w14:paraId="2D0E5B2D">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3.3无创通气模式，包含P-A/C、P-SIMV、CPAP/PSV、DuoLevel、APRV 和 PSV-S/T等模式。</w:t>
            </w:r>
          </w:p>
          <w:p w14:paraId="5DD1B78C">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3.4氧疗模式 ：具备高流速氧疗功能，氧疗流速（≥80L/min）和氧浓度可调，并具有氧疗计时功能。</w:t>
            </w:r>
          </w:p>
          <w:p w14:paraId="3C0DBA66">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3.5自适应通气模式具有参数调节目标指示表盘，更直观进行通气提示。</w:t>
            </w:r>
          </w:p>
          <w:p w14:paraId="3D724CE3">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3.6呼吸同步技术（如IntelliCycle，IntelliSync+），使用病人的呼吸系统特性包含时间常数等自动调节吸气触发灵敏度和呼气触发灵敏度，自动调节压力上升时间。（提供设备说明书或检测报告</w:t>
            </w:r>
            <w:r>
              <w:rPr>
                <w:rFonts w:hint="eastAsia" w:ascii="宋体" w:hAnsi="宋体" w:eastAsia="宋体" w:cs="宋体"/>
                <w:b w:val="0"/>
                <w:bCs w:val="0"/>
                <w:color w:val="auto"/>
                <w:sz w:val="21"/>
                <w:szCs w:val="21"/>
                <w:highlight w:val="none"/>
                <w:lang w:val="en-US" w:eastAsia="zh-CN"/>
              </w:rPr>
              <w:t>并</w:t>
            </w:r>
            <w:r>
              <w:rPr>
                <w:rFonts w:hint="eastAsia" w:ascii="宋体" w:hAnsi="宋体" w:eastAsia="宋体" w:cs="宋体"/>
                <w:b w:val="0"/>
                <w:bCs w:val="0"/>
                <w:color w:val="auto"/>
                <w:sz w:val="21"/>
                <w:szCs w:val="21"/>
                <w:highlight w:val="none"/>
              </w:rPr>
              <w:t>加盖</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公章）</w:t>
            </w:r>
          </w:p>
          <w:p w14:paraId="60ECC56E">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3.7具有自动插管阻力补偿（如ATRC，TRC）和静态P-V环图（或P-V工具）。</w:t>
            </w:r>
          </w:p>
          <w:p w14:paraId="008513F2">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3.8具有脱机辅助工具，用户可定制脱机指征参数并设定报警范围，提供全面的参数变化动态趋势和脱机看板，一键启动SBT（自主呼吸试验），规范脱机筛选流程。（提供设备说明书或检测报告</w:t>
            </w:r>
            <w:r>
              <w:rPr>
                <w:rFonts w:hint="eastAsia" w:ascii="宋体" w:hAnsi="宋体" w:eastAsia="宋体" w:cs="宋体"/>
                <w:b w:val="0"/>
                <w:bCs w:val="0"/>
                <w:color w:val="auto"/>
                <w:sz w:val="21"/>
                <w:szCs w:val="21"/>
                <w:highlight w:val="none"/>
                <w:lang w:val="en-US" w:eastAsia="zh-CN"/>
              </w:rPr>
              <w:t>并</w:t>
            </w:r>
            <w:r>
              <w:rPr>
                <w:rFonts w:hint="eastAsia" w:ascii="宋体" w:hAnsi="宋体" w:eastAsia="宋体" w:cs="宋体"/>
                <w:b w:val="0"/>
                <w:bCs w:val="0"/>
                <w:color w:val="auto"/>
                <w:sz w:val="21"/>
                <w:szCs w:val="21"/>
                <w:highlight w:val="none"/>
              </w:rPr>
              <w:t>加盖</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公章）</w:t>
            </w:r>
          </w:p>
          <w:p w14:paraId="1F00F687">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3.9肺复张工具，提供控制性肺膨胀法（SI）进行肺复张。</w:t>
            </w:r>
          </w:p>
          <w:p w14:paraId="20807E02">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3.10具有待机功能并可设定病人理想体重或身高，具有单位理想体重呼气潮气量（如TVe/IBW或VTe/PBW）参数监测功能。</w:t>
            </w:r>
          </w:p>
          <w:p w14:paraId="33E94DC1">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3.11支持双通道辅助压监测，实时监测食道压和胃内压变化趋势。</w:t>
            </w:r>
          </w:p>
          <w:p w14:paraId="0B6948DD">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 xml:space="preserve">3.12配辅助压置管工具，实时检测识别食道压气囊位置，一键自动阻塞实验确认气囊位置。 </w:t>
            </w:r>
          </w:p>
          <w:p w14:paraId="6D3520FA">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3.13配食道压滤波技术和食道压基线校准功能。</w:t>
            </w:r>
          </w:p>
          <w:p w14:paraId="2A7DC5F5">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 xml:space="preserve">3.14提供具有单独NMPA注册证的同品牌辅助压力测量附件，兼具胃管功能。 </w:t>
            </w:r>
          </w:p>
          <w:p w14:paraId="498EEC6F">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4、设置参数</w:t>
            </w:r>
          </w:p>
          <w:p w14:paraId="7881D8EA">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4.1潮气量：20ml—4000ml</w:t>
            </w:r>
          </w:p>
          <w:p w14:paraId="299F56D0">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4.2呼吸频率：1—100/min</w:t>
            </w:r>
          </w:p>
          <w:p w14:paraId="157F97E0">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4.3吸呼比：4:1—1:10</w:t>
            </w:r>
          </w:p>
          <w:p w14:paraId="2CDDDC2E">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4.4最大峰值流速：180L/min</w:t>
            </w:r>
          </w:p>
          <w:p w14:paraId="39C4339E">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4.5吸气压力：1—100 cmH2O</w:t>
            </w:r>
          </w:p>
          <w:p w14:paraId="0359D4BA">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4.6PEEP：0—50 cmH2O</w:t>
            </w:r>
          </w:p>
          <w:p w14:paraId="06994710">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4.7吸气时间：0.1—10s  </w:t>
            </w:r>
          </w:p>
          <w:p w14:paraId="5543C04A">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4.8压力触发灵敏度：-20— - 0.5cmH2O，或 OFF</w:t>
            </w:r>
          </w:p>
          <w:p w14:paraId="1B1D05EB">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4.9流速触发灵敏度：0.5—20L/ min，或 OFF</w:t>
            </w:r>
          </w:p>
          <w:p w14:paraId="4A555892">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 xml:space="preserve">4.10呼气触发灵敏度：Auto, 1—85%   </w:t>
            </w:r>
          </w:p>
          <w:p w14:paraId="24119B58">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5、监测参数</w:t>
            </w:r>
          </w:p>
          <w:p w14:paraId="6D5E6A09">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5.1气道压力监测：气道峰压、平台压、平均压、呼气末正压、驱动压等参数监测。</w:t>
            </w:r>
          </w:p>
          <w:p w14:paraId="6AF36AF1">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5.2要求可以监测驱动压，定义为：在机械通气中作用在呼吸系统的驱动压力，是平台压与呼气末正压的差。范围：0 ～ 120cmH2O（需提供说明书版本号以及说明书内容证明范围符合招标要求</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上述资料加</w:t>
            </w:r>
            <w:r>
              <w:rPr>
                <w:rFonts w:hint="eastAsia" w:ascii="宋体" w:hAnsi="宋体" w:eastAsia="宋体" w:cs="宋体"/>
                <w:b w:val="0"/>
                <w:bCs w:val="0"/>
                <w:color w:val="auto"/>
                <w:sz w:val="21"/>
                <w:szCs w:val="21"/>
                <w:highlight w:val="none"/>
              </w:rPr>
              <w:t>盖</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公章</w:t>
            </w:r>
            <w:r>
              <w:rPr>
                <w:rFonts w:hint="eastAsia" w:ascii="宋体" w:hAnsi="宋体" w:eastAsia="宋体" w:cs="宋体"/>
                <w:b w:val="0"/>
                <w:bCs w:val="0"/>
                <w:color w:val="auto"/>
                <w:sz w:val="21"/>
                <w:szCs w:val="21"/>
                <w:highlight w:val="none"/>
              </w:rPr>
              <w:t>）</w:t>
            </w:r>
          </w:p>
          <w:p w14:paraId="7FE9722B">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5.3分钟通气量监测：呼气分钟通气量、吸气分钟通气量、自主呼吸分钟通气量、分钟泄漏量、气体泄漏百分比等参数监测。</w:t>
            </w:r>
          </w:p>
          <w:p w14:paraId="367866BA">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5.4潮气量监测：吸入潮气量、呼出潮气量、自主呼吸潮气量、单位理想体重呼出潮气量。</w:t>
            </w:r>
          </w:p>
          <w:p w14:paraId="7FBCE15C">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5.5呼吸频率监测：总呼吸频率、自主呼吸频率、机控呼吸频率。</w:t>
            </w:r>
          </w:p>
          <w:p w14:paraId="41DBB263">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5.6肺力学参数监测：吸气阻力、呼气阻力、静态顺应性、动态顺应性、时间常数、总呼吸功、病人呼吸功、机器呼吸功、附加功等参数监测。</w:t>
            </w:r>
          </w:p>
          <w:p w14:paraId="4C0D8183">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5.7实时监测压力-时间曲线形态，并量化为牵张指数Stress Index辅助临床判断与决策。</w:t>
            </w:r>
          </w:p>
          <w:p w14:paraId="4A1AC1E0">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5.8实时监测压力/容积环形态，并量化为肺过度膨胀系数C20/C辅助临床判断与决策。</w:t>
            </w:r>
          </w:p>
          <w:p w14:paraId="40236C70">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5.9实时提供胸壁顺应性Ccw，监测范围：0 ～ 300mL/cmH2O。（需提供说明书版本号以及说明书内容证明范围符合招标要求</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上述资料加</w:t>
            </w:r>
            <w:r>
              <w:rPr>
                <w:rFonts w:hint="eastAsia" w:ascii="宋体" w:hAnsi="宋体" w:eastAsia="宋体" w:cs="宋体"/>
                <w:b w:val="0"/>
                <w:bCs w:val="0"/>
                <w:color w:val="auto"/>
                <w:sz w:val="21"/>
                <w:szCs w:val="21"/>
                <w:highlight w:val="none"/>
              </w:rPr>
              <w:t>盖</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公章</w:t>
            </w:r>
            <w:r>
              <w:rPr>
                <w:rFonts w:hint="eastAsia" w:ascii="宋体" w:hAnsi="宋体" w:eastAsia="宋体" w:cs="宋体"/>
                <w:b w:val="0"/>
                <w:bCs w:val="0"/>
                <w:color w:val="auto"/>
                <w:sz w:val="21"/>
                <w:szCs w:val="21"/>
                <w:highlight w:val="none"/>
              </w:rPr>
              <w:t>）</w:t>
            </w:r>
          </w:p>
          <w:p w14:paraId="34673A5D">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5.10肺顺应性Clung监测参数，监测范围：0 ～ 300mL/cmH2O。（需提供说明书版本号以及说明书内容证明范围符合招标要求</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上述资料加</w:t>
            </w:r>
            <w:r>
              <w:rPr>
                <w:rFonts w:hint="eastAsia" w:ascii="宋体" w:hAnsi="宋体" w:eastAsia="宋体" w:cs="宋体"/>
                <w:b w:val="0"/>
                <w:bCs w:val="0"/>
                <w:color w:val="auto"/>
                <w:sz w:val="21"/>
                <w:szCs w:val="21"/>
                <w:highlight w:val="none"/>
              </w:rPr>
              <w:t>盖</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公章</w:t>
            </w:r>
            <w:r>
              <w:rPr>
                <w:rFonts w:hint="eastAsia" w:ascii="宋体" w:hAnsi="宋体" w:eastAsia="宋体" w:cs="宋体"/>
                <w:b w:val="0"/>
                <w:bCs w:val="0"/>
                <w:color w:val="auto"/>
                <w:sz w:val="21"/>
                <w:szCs w:val="21"/>
                <w:highlight w:val="none"/>
              </w:rPr>
              <w:t>）。</w:t>
            </w:r>
          </w:p>
          <w:p w14:paraId="260F8E0F">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5.11实时提供吸气末跨肺压、呼气末跨肺压、跨肺驱动压、吸气末食道压、呼气末食道压压、食道压摆动值、食道压压力时间乘积、食道压分钟压力时间乘积等辅助压监测参数。</w:t>
            </w:r>
          </w:p>
          <w:p w14:paraId="2B533A9B">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6、报警参数</w:t>
            </w:r>
          </w:p>
          <w:p w14:paraId="6554D410">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6.1气道压力：过高/过低报警</w:t>
            </w:r>
          </w:p>
          <w:p w14:paraId="1119991C">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6.2分钟通气量：过高/过低报警</w:t>
            </w:r>
          </w:p>
          <w:p w14:paraId="7CF06D89">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6.3潮气量：过高/过低报警</w:t>
            </w:r>
          </w:p>
          <w:p w14:paraId="7D83595B">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7、系统功能要求</w:t>
            </w:r>
          </w:p>
          <w:p w14:paraId="0B6C2A84">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7.1具备截屏、U盘导出功能，可缓存≥45张屏幕文件。</w:t>
            </w:r>
          </w:p>
          <w:p w14:paraId="30DDE1CB">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7.2实时气源压力电子显示。</w:t>
            </w:r>
          </w:p>
          <w:p w14:paraId="6621E8E7">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7.3具备一体化模块插件箱，便于呼吸机功能升级和扩展；可兼容原装同品牌常用监护模块，支持升级旁流CO2模块和SpO2模块监测，即插即用。</w:t>
            </w:r>
          </w:p>
          <w:p w14:paraId="0FD0F28B">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7.4</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≥80分钟内置后备可充电锂电池。</w:t>
            </w:r>
          </w:p>
          <w:p w14:paraId="159E1DD6">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7.5吸气阀、呼气阀组件可拆卸，并能高温高压蒸汽消毒（≥130℃）。</w:t>
            </w:r>
          </w:p>
          <w:p w14:paraId="5D882212">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7.6支持显示历史监测参数≥185小时的趋势图、表，系统可以存储≥14000条报警和操作日志记录。</w:t>
            </w:r>
          </w:p>
          <w:p w14:paraId="2273FE06">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8、信息化功能要求</w:t>
            </w:r>
          </w:p>
          <w:p w14:paraId="5A498FA4">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8.1呼吸机可支持与同品牌监护仪以及非同品牌输注泵通过无线方式融合显示在中央站界面。</w:t>
            </w:r>
          </w:p>
          <w:p w14:paraId="33252BA4">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8.2呼吸机与监护仪统一网络联网通信时，呼吸机支持显示来自监护设备的血氧和呼末二氧化碳参数，辅助临床团队高质量评估脱机。</w:t>
            </w:r>
          </w:p>
          <w:p w14:paraId="5FA32CBC">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8.3具备VGA扩展显示（非HDMI接口），方便日常使用。</w:t>
            </w:r>
          </w:p>
          <w:p w14:paraId="1D40ED0B">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rPr>
              <w:t>三、每套配置包含但不限于：</w:t>
            </w:r>
          </w:p>
          <w:tbl>
            <w:tblPr>
              <w:tblStyle w:val="12"/>
              <w:tblW w:w="7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4774"/>
              <w:gridCol w:w="818"/>
              <w:gridCol w:w="996"/>
            </w:tblGrid>
            <w:tr w14:paraId="78713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058" w:type="dxa"/>
                  <w:noWrap w:val="0"/>
                  <w:vAlign w:val="top"/>
                </w:tcPr>
                <w:p w14:paraId="65E784F7">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4774" w:type="dxa"/>
                  <w:noWrap w:val="0"/>
                  <w:vAlign w:val="top"/>
                </w:tcPr>
                <w:p w14:paraId="41C9D80B">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货物名称</w:t>
                  </w:r>
                </w:p>
              </w:tc>
              <w:tc>
                <w:tcPr>
                  <w:tcW w:w="818" w:type="dxa"/>
                  <w:noWrap w:val="0"/>
                  <w:vAlign w:val="top"/>
                </w:tcPr>
                <w:p w14:paraId="7BE46679">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数量</w:t>
                  </w:r>
                </w:p>
              </w:tc>
              <w:tc>
                <w:tcPr>
                  <w:tcW w:w="996" w:type="dxa"/>
                  <w:noWrap w:val="0"/>
                  <w:vAlign w:val="top"/>
                </w:tcPr>
                <w:p w14:paraId="581EE0AE">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单位</w:t>
                  </w:r>
                </w:p>
              </w:tc>
            </w:tr>
            <w:tr w14:paraId="3773D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058" w:type="dxa"/>
                  <w:noWrap w:val="0"/>
                  <w:vAlign w:val="top"/>
                </w:tcPr>
                <w:p w14:paraId="622A001A">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4774" w:type="dxa"/>
                  <w:noWrap w:val="0"/>
                  <w:vAlign w:val="top"/>
                </w:tcPr>
                <w:p w14:paraId="14110D38">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主机</w:t>
                  </w:r>
                </w:p>
              </w:tc>
              <w:tc>
                <w:tcPr>
                  <w:tcW w:w="818" w:type="dxa"/>
                  <w:noWrap w:val="0"/>
                  <w:vAlign w:val="center"/>
                </w:tcPr>
                <w:p w14:paraId="3416CA84">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96" w:type="dxa"/>
                  <w:noWrap w:val="0"/>
                  <w:vAlign w:val="center"/>
                </w:tcPr>
                <w:p w14:paraId="4D5BC628">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w:t>
                  </w:r>
                </w:p>
              </w:tc>
            </w:tr>
            <w:tr w14:paraId="53813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058" w:type="dxa"/>
                  <w:noWrap w:val="0"/>
                  <w:vAlign w:val="top"/>
                </w:tcPr>
                <w:p w14:paraId="5091BAE8">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4774" w:type="dxa"/>
                  <w:noWrap w:val="0"/>
                  <w:vAlign w:val="top"/>
                </w:tcPr>
                <w:p w14:paraId="230A5177">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电源线（标准根据医院需求提供）</w:t>
                  </w:r>
                </w:p>
              </w:tc>
              <w:tc>
                <w:tcPr>
                  <w:tcW w:w="818" w:type="dxa"/>
                  <w:noWrap w:val="0"/>
                  <w:vAlign w:val="top"/>
                </w:tcPr>
                <w:p w14:paraId="6E19DEF9">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96" w:type="dxa"/>
                  <w:noWrap w:val="0"/>
                  <w:vAlign w:val="top"/>
                </w:tcPr>
                <w:p w14:paraId="7AB8D09F">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根</w:t>
                  </w:r>
                </w:p>
              </w:tc>
            </w:tr>
            <w:tr w14:paraId="407A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top"/>
                </w:tcPr>
                <w:p w14:paraId="164DDB75">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4774" w:type="dxa"/>
                  <w:noWrap w:val="0"/>
                  <w:vAlign w:val="top"/>
                </w:tcPr>
                <w:p w14:paraId="007E8ED9">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氧气、空气软管（配接头）</w:t>
                  </w:r>
                </w:p>
              </w:tc>
              <w:tc>
                <w:tcPr>
                  <w:tcW w:w="818" w:type="dxa"/>
                  <w:noWrap w:val="0"/>
                  <w:vAlign w:val="top"/>
                </w:tcPr>
                <w:p w14:paraId="2E667875">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996" w:type="dxa"/>
                  <w:noWrap w:val="0"/>
                  <w:vAlign w:val="top"/>
                </w:tcPr>
                <w:p w14:paraId="2FDD0CA3">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根</w:t>
                  </w:r>
                </w:p>
              </w:tc>
            </w:tr>
            <w:tr w14:paraId="5B8A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top"/>
                </w:tcPr>
                <w:p w14:paraId="05DC0E53">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4774" w:type="dxa"/>
                  <w:noWrap w:val="0"/>
                  <w:vAlign w:val="top"/>
                </w:tcPr>
                <w:p w14:paraId="3B41D4BF">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一次性细菌过滤器</w:t>
                  </w:r>
                </w:p>
              </w:tc>
              <w:tc>
                <w:tcPr>
                  <w:tcW w:w="818" w:type="dxa"/>
                  <w:noWrap w:val="0"/>
                  <w:vAlign w:val="top"/>
                </w:tcPr>
                <w:p w14:paraId="7155F5CB">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996" w:type="dxa"/>
                  <w:noWrap w:val="0"/>
                  <w:vAlign w:val="top"/>
                </w:tcPr>
                <w:p w14:paraId="54D4B031">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个</w:t>
                  </w:r>
                </w:p>
              </w:tc>
            </w:tr>
            <w:tr w14:paraId="33D1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top"/>
                </w:tcPr>
                <w:p w14:paraId="2138B2C1">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4774" w:type="dxa"/>
                  <w:noWrap w:val="0"/>
                  <w:vAlign w:val="top"/>
                </w:tcPr>
                <w:p w14:paraId="3FFDC3E6">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吸气同步释药雾化器</w:t>
                  </w:r>
                </w:p>
              </w:tc>
              <w:tc>
                <w:tcPr>
                  <w:tcW w:w="818" w:type="dxa"/>
                  <w:noWrap w:val="0"/>
                  <w:vAlign w:val="top"/>
                </w:tcPr>
                <w:p w14:paraId="6BB297F5">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96" w:type="dxa"/>
                  <w:noWrap w:val="0"/>
                  <w:vAlign w:val="top"/>
                </w:tcPr>
                <w:p w14:paraId="57DECF70">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个</w:t>
                  </w:r>
                </w:p>
              </w:tc>
            </w:tr>
            <w:tr w14:paraId="77C1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top"/>
                </w:tcPr>
                <w:p w14:paraId="14990F18">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4774" w:type="dxa"/>
                  <w:noWrap w:val="0"/>
                  <w:vAlign w:val="top"/>
                </w:tcPr>
                <w:p w14:paraId="27F0B60E">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台车</w:t>
                  </w:r>
                </w:p>
              </w:tc>
              <w:tc>
                <w:tcPr>
                  <w:tcW w:w="818" w:type="dxa"/>
                  <w:noWrap w:val="0"/>
                  <w:vAlign w:val="top"/>
                </w:tcPr>
                <w:p w14:paraId="2C5736B2">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96" w:type="dxa"/>
                  <w:noWrap w:val="0"/>
                  <w:vAlign w:val="top"/>
                </w:tcPr>
                <w:p w14:paraId="2CDF3C14">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套</w:t>
                  </w:r>
                </w:p>
              </w:tc>
            </w:tr>
            <w:tr w14:paraId="6634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top"/>
                </w:tcPr>
                <w:p w14:paraId="61E001BD">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4774" w:type="dxa"/>
                  <w:noWrap w:val="0"/>
                  <w:vAlign w:val="top"/>
                </w:tcPr>
                <w:p w14:paraId="12EB247F">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备用气源</w:t>
                  </w:r>
                </w:p>
              </w:tc>
              <w:tc>
                <w:tcPr>
                  <w:tcW w:w="818" w:type="dxa"/>
                  <w:noWrap w:val="0"/>
                  <w:vAlign w:val="top"/>
                </w:tcPr>
                <w:p w14:paraId="195BE1AD">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96" w:type="dxa"/>
                  <w:noWrap w:val="0"/>
                  <w:vAlign w:val="top"/>
                </w:tcPr>
                <w:p w14:paraId="09868790">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个</w:t>
                  </w:r>
                </w:p>
              </w:tc>
            </w:tr>
            <w:tr w14:paraId="44937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top"/>
                </w:tcPr>
                <w:p w14:paraId="7CA3C765">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w:t>
                  </w:r>
                </w:p>
              </w:tc>
              <w:tc>
                <w:tcPr>
                  <w:tcW w:w="4774" w:type="dxa"/>
                  <w:noWrap w:val="0"/>
                  <w:vAlign w:val="top"/>
                </w:tcPr>
                <w:p w14:paraId="58A02CF6">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插件箱</w:t>
                  </w:r>
                </w:p>
              </w:tc>
              <w:tc>
                <w:tcPr>
                  <w:tcW w:w="818" w:type="dxa"/>
                  <w:noWrap w:val="0"/>
                  <w:vAlign w:val="top"/>
                </w:tcPr>
                <w:p w14:paraId="3C9382C1">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96" w:type="dxa"/>
                  <w:noWrap w:val="0"/>
                  <w:vAlign w:val="top"/>
                </w:tcPr>
                <w:p w14:paraId="3A5DDCFE">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套</w:t>
                  </w:r>
                </w:p>
              </w:tc>
            </w:tr>
            <w:tr w14:paraId="797A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top"/>
                </w:tcPr>
                <w:p w14:paraId="1E50E32A">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w:t>
                  </w:r>
                </w:p>
              </w:tc>
              <w:tc>
                <w:tcPr>
                  <w:tcW w:w="4774" w:type="dxa"/>
                  <w:noWrap w:val="0"/>
                  <w:vAlign w:val="top"/>
                </w:tcPr>
                <w:p w14:paraId="7AA50FA5">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成人模拟肺</w:t>
                  </w:r>
                </w:p>
              </w:tc>
              <w:tc>
                <w:tcPr>
                  <w:tcW w:w="818" w:type="dxa"/>
                  <w:noWrap w:val="0"/>
                  <w:vAlign w:val="top"/>
                </w:tcPr>
                <w:p w14:paraId="3B51796D">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996" w:type="dxa"/>
                  <w:noWrap w:val="0"/>
                  <w:vAlign w:val="top"/>
                </w:tcPr>
                <w:p w14:paraId="3EC0E90E">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个</w:t>
                  </w:r>
                </w:p>
              </w:tc>
            </w:tr>
            <w:tr w14:paraId="0BB67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top"/>
                </w:tcPr>
                <w:p w14:paraId="165AA43F">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w:t>
                  </w:r>
                </w:p>
              </w:tc>
              <w:tc>
                <w:tcPr>
                  <w:tcW w:w="4774" w:type="dxa"/>
                  <w:noWrap w:val="0"/>
                  <w:vAlign w:val="top"/>
                </w:tcPr>
                <w:p w14:paraId="216FEAC7">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氧疗鼻塞导管(中)</w:t>
                  </w:r>
                </w:p>
              </w:tc>
              <w:tc>
                <w:tcPr>
                  <w:tcW w:w="818" w:type="dxa"/>
                  <w:noWrap w:val="0"/>
                  <w:vAlign w:val="top"/>
                </w:tcPr>
                <w:p w14:paraId="7DD5DAC3">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996" w:type="dxa"/>
                  <w:noWrap w:val="0"/>
                  <w:vAlign w:val="top"/>
                </w:tcPr>
                <w:p w14:paraId="243B8BE5">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根</w:t>
                  </w:r>
                </w:p>
              </w:tc>
            </w:tr>
            <w:tr w14:paraId="58918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top"/>
                </w:tcPr>
                <w:p w14:paraId="278E4EEC">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w:t>
                  </w:r>
                </w:p>
              </w:tc>
              <w:tc>
                <w:tcPr>
                  <w:tcW w:w="4774" w:type="dxa"/>
                  <w:noWrap w:val="0"/>
                  <w:vAlign w:val="top"/>
                </w:tcPr>
                <w:p w14:paraId="7CE991AF">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鼻吸式面罩（中号）</w:t>
                  </w:r>
                </w:p>
              </w:tc>
              <w:tc>
                <w:tcPr>
                  <w:tcW w:w="818" w:type="dxa"/>
                  <w:noWrap w:val="0"/>
                  <w:vAlign w:val="top"/>
                </w:tcPr>
                <w:p w14:paraId="3E849013">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996" w:type="dxa"/>
                  <w:noWrap w:val="0"/>
                  <w:vAlign w:val="top"/>
                </w:tcPr>
                <w:p w14:paraId="04E0BF16">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个</w:t>
                  </w:r>
                </w:p>
              </w:tc>
            </w:tr>
            <w:tr w14:paraId="4248E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top"/>
                </w:tcPr>
                <w:p w14:paraId="4C28C125">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w:t>
                  </w:r>
                </w:p>
              </w:tc>
              <w:tc>
                <w:tcPr>
                  <w:tcW w:w="4774" w:type="dxa"/>
                  <w:noWrap w:val="0"/>
                  <w:vAlign w:val="top"/>
                </w:tcPr>
                <w:p w14:paraId="4657ADFF">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重复性附件包（成人）</w:t>
                  </w:r>
                </w:p>
              </w:tc>
              <w:tc>
                <w:tcPr>
                  <w:tcW w:w="818" w:type="dxa"/>
                  <w:noWrap w:val="0"/>
                  <w:vAlign w:val="top"/>
                </w:tcPr>
                <w:p w14:paraId="0ACF468F">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96" w:type="dxa"/>
                  <w:noWrap w:val="0"/>
                  <w:vAlign w:val="top"/>
                </w:tcPr>
                <w:p w14:paraId="6C75D26F">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套</w:t>
                  </w:r>
                </w:p>
              </w:tc>
            </w:tr>
            <w:tr w14:paraId="268A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top"/>
                </w:tcPr>
                <w:p w14:paraId="2DA1D92B">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w:t>
                  </w:r>
                </w:p>
              </w:tc>
              <w:tc>
                <w:tcPr>
                  <w:tcW w:w="4774" w:type="dxa"/>
                  <w:noWrap w:val="0"/>
                  <w:vAlign w:val="top"/>
                </w:tcPr>
                <w:p w14:paraId="0BAF2005">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重复性附件包（小儿）</w:t>
                  </w:r>
                </w:p>
              </w:tc>
              <w:tc>
                <w:tcPr>
                  <w:tcW w:w="818" w:type="dxa"/>
                  <w:noWrap w:val="0"/>
                  <w:vAlign w:val="top"/>
                </w:tcPr>
                <w:p w14:paraId="747E7A4D">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96" w:type="dxa"/>
                  <w:noWrap w:val="0"/>
                  <w:vAlign w:val="top"/>
                </w:tcPr>
                <w:p w14:paraId="316067C8">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套</w:t>
                  </w:r>
                </w:p>
              </w:tc>
            </w:tr>
            <w:tr w14:paraId="7ED0A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top"/>
                </w:tcPr>
                <w:p w14:paraId="42D10C63">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14</w:t>
                  </w:r>
                </w:p>
              </w:tc>
              <w:tc>
                <w:tcPr>
                  <w:tcW w:w="4774" w:type="dxa"/>
                  <w:noWrap w:val="0"/>
                  <w:vAlign w:val="top"/>
                </w:tcPr>
                <w:p w14:paraId="1CA159EE">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一次性附件包</w:t>
                  </w:r>
                </w:p>
              </w:tc>
              <w:tc>
                <w:tcPr>
                  <w:tcW w:w="818" w:type="dxa"/>
                  <w:noWrap w:val="0"/>
                  <w:vAlign w:val="top"/>
                </w:tcPr>
                <w:p w14:paraId="75E89814">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996" w:type="dxa"/>
                  <w:noWrap w:val="0"/>
                  <w:vAlign w:val="top"/>
                </w:tcPr>
                <w:p w14:paraId="78F1F279">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套</w:t>
                  </w:r>
                </w:p>
              </w:tc>
            </w:tr>
            <w:tr w14:paraId="3A59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top"/>
                </w:tcPr>
                <w:p w14:paraId="5A6DA9C3">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w:t>
                  </w:r>
                </w:p>
              </w:tc>
              <w:tc>
                <w:tcPr>
                  <w:tcW w:w="4774" w:type="dxa"/>
                  <w:noWrap w:val="0"/>
                  <w:vAlign w:val="top"/>
                </w:tcPr>
                <w:p w14:paraId="3D6CAEDB">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支撑臂</w:t>
                  </w:r>
                </w:p>
              </w:tc>
              <w:tc>
                <w:tcPr>
                  <w:tcW w:w="818" w:type="dxa"/>
                  <w:noWrap w:val="0"/>
                  <w:vAlign w:val="top"/>
                </w:tcPr>
                <w:p w14:paraId="7953A868">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96" w:type="dxa"/>
                  <w:noWrap w:val="0"/>
                  <w:vAlign w:val="top"/>
                </w:tcPr>
                <w:p w14:paraId="60532463">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个</w:t>
                  </w:r>
                </w:p>
              </w:tc>
            </w:tr>
            <w:tr w14:paraId="16540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top"/>
                </w:tcPr>
                <w:p w14:paraId="038DECDA">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16</w:t>
                  </w:r>
                </w:p>
              </w:tc>
              <w:tc>
                <w:tcPr>
                  <w:tcW w:w="4774" w:type="dxa"/>
                  <w:noWrap w:val="0"/>
                  <w:vAlign w:val="top"/>
                </w:tcPr>
                <w:p w14:paraId="6BFC2200">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湿化器（具有自动加热加水功能）</w:t>
                  </w:r>
                </w:p>
              </w:tc>
              <w:tc>
                <w:tcPr>
                  <w:tcW w:w="818" w:type="dxa"/>
                  <w:noWrap w:val="0"/>
                  <w:vAlign w:val="top"/>
                </w:tcPr>
                <w:p w14:paraId="28164351">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96" w:type="dxa"/>
                  <w:noWrap w:val="0"/>
                  <w:vAlign w:val="top"/>
                </w:tcPr>
                <w:p w14:paraId="176E41BD">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个</w:t>
                  </w:r>
                </w:p>
              </w:tc>
            </w:tr>
            <w:tr w14:paraId="7B67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top"/>
                </w:tcPr>
                <w:p w14:paraId="26EA3B97">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17</w:t>
                  </w:r>
                </w:p>
              </w:tc>
              <w:tc>
                <w:tcPr>
                  <w:tcW w:w="4774" w:type="dxa"/>
                  <w:noWrap w:val="0"/>
                  <w:vAlign w:val="top"/>
                </w:tcPr>
                <w:p w14:paraId="208E2593">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湿化罐</w:t>
                  </w:r>
                </w:p>
              </w:tc>
              <w:tc>
                <w:tcPr>
                  <w:tcW w:w="818" w:type="dxa"/>
                  <w:noWrap w:val="0"/>
                  <w:vAlign w:val="top"/>
                </w:tcPr>
                <w:p w14:paraId="3B53E42D">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996" w:type="dxa"/>
                  <w:noWrap w:val="0"/>
                  <w:vAlign w:val="top"/>
                </w:tcPr>
                <w:p w14:paraId="17CDA228">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个</w:t>
                  </w:r>
                </w:p>
              </w:tc>
            </w:tr>
          </w:tbl>
          <w:p w14:paraId="4D087F6B">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highlight w:val="none"/>
              </w:rPr>
            </w:pPr>
          </w:p>
          <w:p w14:paraId="7A559CA8">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highlight w:val="none"/>
              </w:rPr>
            </w:pPr>
          </w:p>
          <w:p w14:paraId="36ED9AE8">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注：1.以技术（参数）要求序号最细的（如</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与1.</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之间，</w:t>
            </w: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为最细序号）作为一项参数。</w:t>
            </w:r>
          </w:p>
          <w:p w14:paraId="6013F665">
            <w:pPr>
              <w:pStyle w:val="17"/>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2.投标人应对“2.技术标准与要求”中的各个条款在投标文件格式的《技术和服务要求响应表》中作出响应。</w:t>
            </w:r>
          </w:p>
        </w:tc>
      </w:tr>
      <w:tr w14:paraId="1FDEE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491" w:type="dxa"/>
            <w:noWrap w:val="0"/>
            <w:vAlign w:val="center"/>
          </w:tcPr>
          <w:p w14:paraId="2613550F">
            <w:pPr>
              <w:keepNext/>
              <w:keepLines/>
              <w:adjustRightInd w:val="0"/>
              <w:spacing w:line="360" w:lineRule="auto"/>
              <w:jc w:val="center"/>
              <w:textAlignment w:val="baseline"/>
              <w:outlineLvl w:val="1"/>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说明</w:t>
            </w:r>
          </w:p>
        </w:tc>
        <w:tc>
          <w:tcPr>
            <w:tcW w:w="8904" w:type="dxa"/>
            <w:gridSpan w:val="2"/>
            <w:noWrap w:val="0"/>
            <w:vAlign w:val="center"/>
          </w:tcPr>
          <w:p w14:paraId="35DF2709">
            <w:pPr>
              <w:keepNext/>
              <w:keepLines/>
              <w:adjustRightInd w:val="0"/>
              <w:spacing w:line="360" w:lineRule="auto"/>
              <w:jc w:val="left"/>
              <w:textAlignment w:val="baseline"/>
              <w:outlineLvl w:val="1"/>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打“★”号条款为实质性条款，若有任何一条负偏离或不满足则导致投标（响应）无效。</w:t>
            </w:r>
          </w:p>
          <w:p w14:paraId="6D6EFC3A">
            <w:pPr>
              <w:keepNext/>
              <w:keepLines/>
              <w:adjustRightInd w:val="0"/>
              <w:spacing w:line="360" w:lineRule="auto"/>
              <w:jc w:val="left"/>
              <w:textAlignment w:val="baseline"/>
              <w:outlineLvl w:val="1"/>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打“▲”号条款为重要技术参数（如有），若有部分“▲”条款未响应或不满足，将根据评审要求影响其得分，但不作为无效投标（响应）条款。</w:t>
            </w:r>
          </w:p>
        </w:tc>
      </w:tr>
    </w:tbl>
    <w:p w14:paraId="29D11949">
      <w:pPr>
        <w:pStyle w:val="9"/>
        <w:spacing w:line="360" w:lineRule="auto"/>
        <w:jc w:val="left"/>
        <w:rPr>
          <w:rFonts w:hint="eastAsia" w:ascii="宋体" w:hAnsi="宋体" w:eastAsia="宋体" w:cs="宋体"/>
          <w:color w:val="auto"/>
          <w:sz w:val="24"/>
          <w:szCs w:val="24"/>
          <w:highlight w:val="none"/>
        </w:rPr>
      </w:pPr>
    </w:p>
    <w:p w14:paraId="10DDF195">
      <w:pPr>
        <w:keepNext/>
        <w:keepLines/>
        <w:adjustRightInd w:val="0"/>
        <w:spacing w:line="360" w:lineRule="auto"/>
        <w:jc w:val="left"/>
        <w:textAlignment w:val="baseline"/>
        <w:outlineLvl w:val="1"/>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rPr>
        <w:t>附</w:t>
      </w:r>
      <w:r>
        <w:rPr>
          <w:rFonts w:hint="eastAsia" w:ascii="宋体" w:hAnsi="宋体" w:eastAsia="宋体" w:cs="宋体"/>
          <w:b/>
          <w:bCs w:val="0"/>
          <w:color w:val="auto"/>
          <w:kern w:val="0"/>
          <w:sz w:val="24"/>
          <w:szCs w:val="24"/>
          <w:highlight w:val="none"/>
        </w:rPr>
        <w:t>表</w:t>
      </w:r>
      <w:r>
        <w:rPr>
          <w:rFonts w:hint="eastAsia" w:ascii="宋体" w:hAnsi="宋体" w:eastAsia="宋体" w:cs="宋体"/>
          <w:b/>
          <w:bCs w:val="0"/>
          <w:color w:val="auto"/>
          <w:kern w:val="0"/>
          <w:sz w:val="24"/>
          <w:szCs w:val="24"/>
          <w:highlight w:val="none"/>
          <w:lang w:val="en-US" w:eastAsia="zh-CN"/>
        </w:rPr>
        <w:t>三</w:t>
      </w:r>
      <w:r>
        <w:rPr>
          <w:rFonts w:hint="eastAsia" w:ascii="宋体" w:hAnsi="宋体" w:eastAsia="宋体" w:cs="宋体"/>
          <w:b/>
          <w:color w:val="auto"/>
          <w:kern w:val="0"/>
          <w:sz w:val="24"/>
          <w:szCs w:val="24"/>
          <w:highlight w:val="none"/>
        </w:rPr>
        <w:t>：</w:t>
      </w:r>
      <w:r>
        <w:rPr>
          <w:rFonts w:hint="eastAsia" w:ascii="宋体" w:hAnsi="宋体" w:cs="宋体"/>
          <w:b/>
          <w:color w:val="auto"/>
          <w:kern w:val="0"/>
          <w:sz w:val="24"/>
          <w:szCs w:val="24"/>
          <w:highlight w:val="none"/>
          <w:lang w:eastAsia="zh-CN"/>
        </w:rPr>
        <w:t>转运呼吸机</w:t>
      </w:r>
    </w:p>
    <w:tbl>
      <w:tblPr>
        <w:tblStyle w:val="12"/>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450"/>
        <w:gridCol w:w="8454"/>
      </w:tblGrid>
      <w:tr w14:paraId="4E5E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8" w:hRule="atLeast"/>
        </w:trPr>
        <w:tc>
          <w:tcPr>
            <w:tcW w:w="491" w:type="dxa"/>
            <w:shd w:val="clear" w:color="auto" w:fill="EEECE1"/>
            <w:noWrap w:val="0"/>
            <w:vAlign w:val="center"/>
          </w:tcPr>
          <w:p w14:paraId="05B69ACD">
            <w:pPr>
              <w:keepNext/>
              <w:keepLines/>
              <w:adjustRightInd w:val="0"/>
              <w:spacing w:line="360" w:lineRule="auto"/>
              <w:jc w:val="center"/>
              <w:textAlignment w:val="baseline"/>
              <w:outlineLvl w:val="1"/>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参数性质</w:t>
            </w:r>
          </w:p>
        </w:tc>
        <w:tc>
          <w:tcPr>
            <w:tcW w:w="450" w:type="dxa"/>
            <w:shd w:val="clear" w:color="auto" w:fill="EEECE1"/>
            <w:noWrap w:val="0"/>
            <w:vAlign w:val="center"/>
          </w:tcPr>
          <w:p w14:paraId="2A32BA30">
            <w:pPr>
              <w:keepNext/>
              <w:keepLines/>
              <w:adjustRightInd w:val="0"/>
              <w:spacing w:line="360" w:lineRule="auto"/>
              <w:jc w:val="center"/>
              <w:textAlignment w:val="baseline"/>
              <w:outlineLvl w:val="1"/>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8454" w:type="dxa"/>
            <w:shd w:val="clear" w:color="auto" w:fill="EEECE1"/>
            <w:noWrap w:val="0"/>
            <w:vAlign w:val="center"/>
          </w:tcPr>
          <w:p w14:paraId="6AEEEDE6">
            <w:pPr>
              <w:keepNext/>
              <w:keepLines/>
              <w:adjustRightInd w:val="0"/>
              <w:spacing w:line="360" w:lineRule="auto"/>
              <w:jc w:val="center"/>
              <w:textAlignment w:val="baseline"/>
              <w:outlineLvl w:val="1"/>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具体技术（参数）要求</w:t>
            </w:r>
          </w:p>
        </w:tc>
      </w:tr>
      <w:tr w14:paraId="6C39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noWrap w:val="0"/>
            <w:vAlign w:val="center"/>
          </w:tcPr>
          <w:p w14:paraId="0AC905D3">
            <w:pPr>
              <w:keepNext/>
              <w:keepLines/>
              <w:adjustRightInd w:val="0"/>
              <w:spacing w:line="360" w:lineRule="auto"/>
              <w:jc w:val="center"/>
              <w:textAlignment w:val="baseline"/>
              <w:rPr>
                <w:rFonts w:hint="eastAsia" w:ascii="宋体" w:hAnsi="宋体" w:eastAsia="宋体" w:cs="宋体"/>
                <w:bCs/>
                <w:color w:val="auto"/>
                <w:kern w:val="0"/>
                <w:szCs w:val="21"/>
                <w:highlight w:val="none"/>
              </w:rPr>
            </w:pPr>
          </w:p>
        </w:tc>
        <w:tc>
          <w:tcPr>
            <w:tcW w:w="450" w:type="dxa"/>
            <w:noWrap w:val="0"/>
            <w:vAlign w:val="center"/>
          </w:tcPr>
          <w:p w14:paraId="4A2C76E9">
            <w:pPr>
              <w:keepNext/>
              <w:keepLines/>
              <w:adjustRightInd w:val="0"/>
              <w:spacing w:line="360" w:lineRule="auto"/>
              <w:jc w:val="center"/>
              <w:textAlignment w:val="baseline"/>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w:t>
            </w:r>
          </w:p>
        </w:tc>
        <w:tc>
          <w:tcPr>
            <w:tcW w:w="8454" w:type="dxa"/>
            <w:noWrap w:val="0"/>
            <w:vAlign w:val="bottom"/>
          </w:tcPr>
          <w:p w14:paraId="466DB201">
            <w:pPr>
              <w:pStyle w:val="16"/>
              <w:keepNext w:val="0"/>
              <w:keepLines w:val="0"/>
              <w:pageBreakBefore w:val="0"/>
              <w:numPr>
                <w:ilvl w:val="0"/>
                <w:numId w:val="0"/>
              </w:numPr>
              <w:kinsoku/>
              <w:wordWrap/>
              <w:overflowPunct/>
              <w:topLinePunct w:val="0"/>
              <w:autoSpaceDE/>
              <w:autoSpaceDN/>
              <w:bidi w:val="0"/>
              <w:adjustRightInd/>
              <w:snapToGrid/>
              <w:spacing w:line="360" w:lineRule="auto"/>
              <w:ind w:left="0" w:firstLine="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★一、产品要求：投标产品须为具有《医疗器械注册证》的产品。（提供《医疗器械注册证》并加盖投标人公章）</w:t>
            </w:r>
          </w:p>
          <w:p w14:paraId="4DD380BF">
            <w:pPr>
              <w:pStyle w:val="1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val="0"/>
                <w:color w:val="auto"/>
                <w:kern w:val="2"/>
                <w:sz w:val="21"/>
                <w:szCs w:val="21"/>
                <w:highlight w:val="none"/>
                <w:lang w:val="en-US" w:eastAsia="zh-CN" w:bidi="ar-SA"/>
              </w:rPr>
              <w:t>二、</w:t>
            </w:r>
            <w:r>
              <w:rPr>
                <w:rFonts w:hint="eastAsia" w:ascii="宋体" w:hAnsi="宋体" w:eastAsia="宋体" w:cs="宋体"/>
                <w:b/>
                <w:color w:val="auto"/>
                <w:sz w:val="21"/>
                <w:szCs w:val="21"/>
                <w:highlight w:val="none"/>
              </w:rPr>
              <w:t>主要技术参数：</w:t>
            </w:r>
          </w:p>
          <w:p w14:paraId="4FEB017E">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1、基本要求</w:t>
            </w:r>
          </w:p>
          <w:p w14:paraId="311B9766">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1.1适用于为成人、儿童和婴幼儿提供正压通气辅助及呼吸支持。</w:t>
            </w:r>
          </w:p>
          <w:p w14:paraId="1A844CBC">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1.2可支持双管路通气，精准通气。（提供产品说明书关键信息页扫描件或实机演示图片证明</w:t>
            </w:r>
            <w:r>
              <w:rPr>
                <w:rFonts w:hint="eastAsia" w:ascii="宋体" w:hAnsi="宋体" w:eastAsia="宋体" w:cs="宋体"/>
                <w:b w:val="0"/>
                <w:bCs w:val="0"/>
                <w:color w:val="auto"/>
                <w:sz w:val="21"/>
                <w:szCs w:val="21"/>
                <w:highlight w:val="none"/>
              </w:rPr>
              <w:t>并</w:t>
            </w:r>
            <w:r>
              <w:rPr>
                <w:rFonts w:hint="eastAsia" w:ascii="宋体" w:hAnsi="宋体" w:eastAsia="宋体" w:cs="宋体"/>
                <w:b w:val="0"/>
                <w:bCs w:val="0"/>
                <w:color w:val="auto"/>
                <w:sz w:val="21"/>
                <w:szCs w:val="21"/>
                <w:highlight w:val="none"/>
                <w:lang w:val="en-US" w:eastAsia="zh-CN"/>
              </w:rPr>
              <w:t>加</w:t>
            </w:r>
            <w:r>
              <w:rPr>
                <w:rFonts w:hint="eastAsia" w:ascii="宋体" w:hAnsi="宋体" w:eastAsia="宋体" w:cs="宋体"/>
                <w:b w:val="0"/>
                <w:bCs w:val="0"/>
                <w:color w:val="auto"/>
                <w:sz w:val="21"/>
                <w:szCs w:val="21"/>
                <w:highlight w:val="none"/>
              </w:rPr>
              <w:t>盖</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公章</w:t>
            </w:r>
            <w:r>
              <w:rPr>
                <w:rFonts w:hint="eastAsia" w:ascii="宋体" w:hAnsi="宋体" w:eastAsia="宋体" w:cs="宋体"/>
                <w:b w:val="0"/>
                <w:bCs w:val="0"/>
                <w:color w:val="auto"/>
                <w:sz w:val="21"/>
                <w:szCs w:val="21"/>
                <w:highlight w:val="none"/>
              </w:rPr>
              <w:t>）</w:t>
            </w:r>
          </w:p>
          <w:p w14:paraId="5D3182C9">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1.3电动电控</w:t>
            </w:r>
            <w:r>
              <w:rPr>
                <w:rFonts w:hint="eastAsia" w:ascii="宋体" w:hAnsi="宋体" w:eastAsia="宋体" w:cs="宋体"/>
                <w:b w:val="0"/>
                <w:bCs w:val="0"/>
                <w:color w:val="auto"/>
                <w:sz w:val="21"/>
                <w:szCs w:val="21"/>
                <w:highlight w:val="none"/>
              </w:rPr>
              <w:t>呼吸机，</w:t>
            </w:r>
            <w:r>
              <w:rPr>
                <w:rFonts w:hint="eastAsia" w:ascii="宋体" w:hAnsi="宋体" w:eastAsia="宋体" w:cs="宋体"/>
                <w:b w:val="0"/>
                <w:bCs w:val="0"/>
                <w:color w:val="auto"/>
                <w:sz w:val="21"/>
                <w:szCs w:val="21"/>
                <w:highlight w:val="none"/>
              </w:rPr>
              <w:t>无须气源驱动，峰值流速≥250 L/min。</w:t>
            </w:r>
          </w:p>
          <w:p w14:paraId="17885EB4">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1.4具有一体化触摸屏，非外接显示屏，屏幕≥8英寸，可切换白天或夜晚显示模式。（提供产品说明书关键信息页扫描件或彩页证明</w:t>
            </w:r>
            <w:r>
              <w:rPr>
                <w:rFonts w:hint="eastAsia" w:ascii="宋体" w:hAnsi="宋体" w:eastAsia="宋体" w:cs="宋体"/>
                <w:b w:val="0"/>
                <w:bCs w:val="0"/>
                <w:color w:val="auto"/>
                <w:sz w:val="21"/>
                <w:szCs w:val="21"/>
                <w:highlight w:val="none"/>
              </w:rPr>
              <w:t>并</w:t>
            </w:r>
            <w:r>
              <w:rPr>
                <w:rFonts w:hint="eastAsia" w:ascii="宋体" w:hAnsi="宋体" w:eastAsia="宋体" w:cs="宋体"/>
                <w:b w:val="0"/>
                <w:bCs w:val="0"/>
                <w:color w:val="auto"/>
                <w:sz w:val="21"/>
                <w:szCs w:val="21"/>
                <w:highlight w:val="none"/>
                <w:lang w:val="en-US" w:eastAsia="zh-CN"/>
              </w:rPr>
              <w:t>加</w:t>
            </w:r>
            <w:r>
              <w:rPr>
                <w:rFonts w:hint="eastAsia" w:ascii="宋体" w:hAnsi="宋体" w:eastAsia="宋体" w:cs="宋体"/>
                <w:b w:val="0"/>
                <w:bCs w:val="0"/>
                <w:color w:val="auto"/>
                <w:sz w:val="21"/>
                <w:szCs w:val="21"/>
                <w:highlight w:val="none"/>
              </w:rPr>
              <w:t>盖</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公章</w:t>
            </w:r>
            <w:r>
              <w:rPr>
                <w:rFonts w:hint="eastAsia" w:ascii="宋体" w:hAnsi="宋体" w:eastAsia="宋体" w:cs="宋体"/>
                <w:b w:val="0"/>
                <w:bCs w:val="0"/>
                <w:color w:val="auto"/>
                <w:sz w:val="21"/>
                <w:szCs w:val="21"/>
                <w:highlight w:val="none"/>
              </w:rPr>
              <w:t>）</w:t>
            </w:r>
          </w:p>
          <w:p w14:paraId="15B06C48">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1.5内置≥1块锂电池，工作时长≥300分钟。</w:t>
            </w:r>
          </w:p>
          <w:p w14:paraId="55BE4182">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1.6本机具备氧耗工具，可以在主机屏幕显示当前的耗氧量、氧气等预估可用剩余时间。</w:t>
            </w:r>
          </w:p>
          <w:p w14:paraId="518B98BE">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1.7内置呼气安全阀组件，可徒手拆卸，并能高温高压蒸汽消毒（≥130℃），以防止交叉感染。（提供产品说明书关键信息页扫描件证明</w:t>
            </w:r>
            <w:r>
              <w:rPr>
                <w:rFonts w:hint="eastAsia" w:ascii="宋体" w:hAnsi="宋体" w:eastAsia="宋体" w:cs="宋体"/>
                <w:b w:val="0"/>
                <w:bCs w:val="0"/>
                <w:color w:val="auto"/>
                <w:sz w:val="21"/>
                <w:szCs w:val="21"/>
                <w:highlight w:val="none"/>
              </w:rPr>
              <w:t>并</w:t>
            </w:r>
            <w:r>
              <w:rPr>
                <w:rFonts w:hint="eastAsia" w:ascii="宋体" w:hAnsi="宋体" w:eastAsia="宋体" w:cs="宋体"/>
                <w:b w:val="0"/>
                <w:bCs w:val="0"/>
                <w:color w:val="auto"/>
                <w:sz w:val="21"/>
                <w:szCs w:val="21"/>
                <w:highlight w:val="none"/>
                <w:lang w:val="en-US" w:eastAsia="zh-CN"/>
              </w:rPr>
              <w:t>加</w:t>
            </w:r>
            <w:r>
              <w:rPr>
                <w:rFonts w:hint="eastAsia" w:ascii="宋体" w:hAnsi="宋体" w:eastAsia="宋体" w:cs="宋体"/>
                <w:b w:val="0"/>
                <w:bCs w:val="0"/>
                <w:color w:val="auto"/>
                <w:sz w:val="21"/>
                <w:szCs w:val="21"/>
                <w:highlight w:val="none"/>
              </w:rPr>
              <w:t>盖</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公章</w:t>
            </w:r>
            <w:r>
              <w:rPr>
                <w:rFonts w:hint="eastAsia" w:ascii="宋体" w:hAnsi="宋体" w:eastAsia="宋体" w:cs="宋体"/>
                <w:b w:val="0"/>
                <w:bCs w:val="0"/>
                <w:color w:val="auto"/>
                <w:sz w:val="21"/>
                <w:szCs w:val="21"/>
                <w:highlight w:val="none"/>
              </w:rPr>
              <w:t>）</w:t>
            </w:r>
          </w:p>
          <w:p w14:paraId="5CEFB61A">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2、通气模式和功能</w:t>
            </w:r>
          </w:p>
          <w:p w14:paraId="1F1F0FA1">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配有创通气模式：具有压力及容量控制通气下的辅助控制通气和同步间歇指令通气模式（V-A/C、P-A/C、V-SIMV、P-SIMV）、CPAP/PSV（持续气道正压通气和压力支持通气模式）、压力调节容量控制和同步间歇指令通气模式（PRVC、PRVC-SIMV）、双水平气道正压通气、心肺复苏模式（CPRV）等。</w:t>
            </w:r>
          </w:p>
          <w:p w14:paraId="474E07FE">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2.2按用户需求可选高级模式：成比例通气模式（如PAV/PPS/PPV）、气道压力释放通气（APRV）模式。（提供产品说明书关键信息页扫描件证明</w:t>
            </w:r>
            <w:r>
              <w:rPr>
                <w:rFonts w:hint="eastAsia" w:ascii="宋体" w:hAnsi="宋体" w:eastAsia="宋体" w:cs="宋体"/>
                <w:b w:val="0"/>
                <w:bCs w:val="0"/>
                <w:color w:val="auto"/>
                <w:sz w:val="21"/>
                <w:szCs w:val="21"/>
                <w:highlight w:val="none"/>
              </w:rPr>
              <w:t>并</w:t>
            </w:r>
            <w:r>
              <w:rPr>
                <w:rFonts w:hint="eastAsia" w:ascii="宋体" w:hAnsi="宋体" w:eastAsia="宋体" w:cs="宋体"/>
                <w:b w:val="0"/>
                <w:bCs w:val="0"/>
                <w:color w:val="auto"/>
                <w:sz w:val="21"/>
                <w:szCs w:val="21"/>
                <w:highlight w:val="none"/>
                <w:lang w:val="en-US" w:eastAsia="zh-CN"/>
              </w:rPr>
              <w:t>加</w:t>
            </w:r>
            <w:r>
              <w:rPr>
                <w:rFonts w:hint="eastAsia" w:ascii="宋体" w:hAnsi="宋体" w:eastAsia="宋体" w:cs="宋体"/>
                <w:b w:val="0"/>
                <w:bCs w:val="0"/>
                <w:color w:val="auto"/>
                <w:sz w:val="21"/>
                <w:szCs w:val="21"/>
                <w:highlight w:val="none"/>
              </w:rPr>
              <w:t>盖</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公章</w:t>
            </w:r>
            <w:r>
              <w:rPr>
                <w:rFonts w:hint="eastAsia" w:ascii="宋体" w:hAnsi="宋体" w:eastAsia="宋体" w:cs="宋体"/>
                <w:b w:val="0"/>
                <w:bCs w:val="0"/>
                <w:color w:val="auto"/>
                <w:sz w:val="21"/>
                <w:szCs w:val="21"/>
                <w:highlight w:val="none"/>
              </w:rPr>
              <w:t>）</w:t>
            </w:r>
          </w:p>
          <w:p w14:paraId="4E1D873C">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2.3标配无创通气模式：P-A/C、P-SIMV、CPAP/PSV、双水平气道正压通气 、PSV-S/T或NIV-ST。</w:t>
            </w:r>
          </w:p>
          <w:p w14:paraId="3D076B19">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2.4按用户需求可选高流量氧疗功能，可以调节氧疗流速（2-80L/min）和氧浓度，支持同品牌高流量氧疗鼻氧管。</w:t>
            </w:r>
          </w:p>
          <w:p w14:paraId="1070BBB2">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2.5具有插管补偿功能，可选择不同孔径的气管插管，呼吸机可以自动调节送气压力，使插管末端的压力与呼吸机压力设置值保持一致。</w:t>
            </w:r>
          </w:p>
          <w:p w14:paraId="71534CFA">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2.6标配低流速P-V工具，帮助择定最佳PEEP值。</w:t>
            </w:r>
          </w:p>
          <w:p w14:paraId="1133C047">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2.7可按用户需求升级一体式同步雾化功能</w:t>
            </w:r>
            <w:r>
              <w:rPr>
                <w:rFonts w:hint="eastAsia" w:ascii="宋体" w:hAnsi="宋体" w:eastAsia="宋体" w:cs="宋体"/>
                <w:b w:val="0"/>
                <w:bCs w:val="0"/>
                <w:color w:val="auto"/>
                <w:sz w:val="21"/>
                <w:szCs w:val="21"/>
                <w:highlight w:val="none"/>
                <w:lang w:eastAsia="zh-CN"/>
              </w:rPr>
              <w:t>，不另外收取费用</w:t>
            </w:r>
            <w:r>
              <w:rPr>
                <w:rFonts w:hint="eastAsia" w:ascii="宋体" w:hAnsi="宋体" w:eastAsia="宋体" w:cs="宋体"/>
                <w:b w:val="0"/>
                <w:bCs w:val="0"/>
                <w:color w:val="auto"/>
                <w:sz w:val="21"/>
                <w:szCs w:val="21"/>
                <w:highlight w:val="none"/>
              </w:rPr>
              <w:t>。</w:t>
            </w:r>
          </w:p>
          <w:p w14:paraId="59EA8570">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2.8具有智能同步功能：设备可根据病人的肺特性，调节吸气触发、压力上升时间和呼气触发参数，减少治疗过程中呼吸机设置值的频繁调节，提高人机同步，使病人呼吸更加舒适。</w:t>
            </w:r>
          </w:p>
          <w:p w14:paraId="35700BF0">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2.9具有肺复张工具，在机械通气过程中给予高于常规平均气道压的压力并可维持一定的时间，可以使更多的萎陷肺泡复张以及防止小潮气量通气所带来的继发性肺不张。</w:t>
            </w:r>
          </w:p>
          <w:p w14:paraId="4F8F71DB">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2.10具有动态肺视图界面，以图形形式实时显示肺动力学参数。</w:t>
            </w:r>
          </w:p>
          <w:p w14:paraId="5862CAAD">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2.11具有脱机辅助监测功能，具备脱机功能看板，可自定义脱机指征，一键启动SBT，脱机失败时自动退出，安全规范实施脱机流程。</w:t>
            </w:r>
          </w:p>
          <w:p w14:paraId="6CB423CC">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2.12按用户需求可选配SpO2监测，提供SpO2和PR监测值，提供脉搏波。可实时监测ROX指数及趋势回顾，动态关注氧疗效果。（提供产品说明书关键信息页扫描件证明</w:t>
            </w:r>
            <w:r>
              <w:rPr>
                <w:rFonts w:hint="eastAsia" w:ascii="宋体" w:hAnsi="宋体" w:eastAsia="宋体" w:cs="宋体"/>
                <w:b w:val="0"/>
                <w:bCs w:val="0"/>
                <w:color w:val="auto"/>
                <w:sz w:val="21"/>
                <w:szCs w:val="21"/>
                <w:highlight w:val="none"/>
              </w:rPr>
              <w:t>并</w:t>
            </w:r>
            <w:r>
              <w:rPr>
                <w:rFonts w:hint="eastAsia" w:ascii="宋体" w:hAnsi="宋体" w:eastAsia="宋体" w:cs="宋体"/>
                <w:b w:val="0"/>
                <w:bCs w:val="0"/>
                <w:color w:val="auto"/>
                <w:sz w:val="21"/>
                <w:szCs w:val="21"/>
                <w:highlight w:val="none"/>
                <w:lang w:val="en-US" w:eastAsia="zh-CN"/>
              </w:rPr>
              <w:t>加</w:t>
            </w:r>
            <w:r>
              <w:rPr>
                <w:rFonts w:hint="eastAsia" w:ascii="宋体" w:hAnsi="宋体" w:eastAsia="宋体" w:cs="宋体"/>
                <w:b w:val="0"/>
                <w:bCs w:val="0"/>
                <w:color w:val="auto"/>
                <w:sz w:val="21"/>
                <w:szCs w:val="21"/>
                <w:highlight w:val="none"/>
              </w:rPr>
              <w:t>盖</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公章</w:t>
            </w:r>
            <w:r>
              <w:rPr>
                <w:rFonts w:hint="eastAsia" w:ascii="宋体" w:hAnsi="宋体" w:eastAsia="宋体" w:cs="宋体"/>
                <w:b w:val="0"/>
                <w:bCs w:val="0"/>
                <w:color w:val="auto"/>
                <w:sz w:val="21"/>
                <w:szCs w:val="21"/>
                <w:highlight w:val="none"/>
              </w:rPr>
              <w:t>）</w:t>
            </w:r>
          </w:p>
          <w:p w14:paraId="7D85ABFC">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2.13按用户需求可选配主流/旁流CO2监测，</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提供衍生监测值，提供相关监测波形及环图</w:t>
            </w:r>
            <w:r>
              <w:rPr>
                <w:rFonts w:hint="eastAsia" w:ascii="宋体" w:hAnsi="宋体" w:eastAsia="宋体" w:cs="宋体"/>
                <w:b w:val="0"/>
                <w:bCs w:val="0"/>
                <w:color w:val="auto"/>
                <w:sz w:val="21"/>
                <w:szCs w:val="21"/>
                <w:highlight w:val="none"/>
              </w:rPr>
              <w:t>并</w:t>
            </w:r>
            <w:r>
              <w:rPr>
                <w:rFonts w:hint="eastAsia" w:ascii="宋体" w:hAnsi="宋体" w:eastAsia="宋体" w:cs="宋体"/>
                <w:b w:val="0"/>
                <w:bCs w:val="0"/>
                <w:color w:val="auto"/>
                <w:sz w:val="21"/>
                <w:szCs w:val="21"/>
                <w:highlight w:val="none"/>
                <w:lang w:val="en-US" w:eastAsia="zh-CN"/>
              </w:rPr>
              <w:t>加</w:t>
            </w:r>
            <w:r>
              <w:rPr>
                <w:rFonts w:hint="eastAsia" w:ascii="宋体" w:hAnsi="宋体" w:eastAsia="宋体" w:cs="宋体"/>
                <w:b w:val="0"/>
                <w:bCs w:val="0"/>
                <w:color w:val="auto"/>
                <w:sz w:val="21"/>
                <w:szCs w:val="21"/>
                <w:highlight w:val="none"/>
              </w:rPr>
              <w:t>盖</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公章</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w:t>
            </w:r>
          </w:p>
          <w:p w14:paraId="7A7B9AA5">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2.14按用户需求可选肺泡通气量计算工具。</w:t>
            </w:r>
          </w:p>
          <w:p w14:paraId="657B4DDF">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按用户需求可选牵张指数。（提供产品说明书关键信息页扫描件证明</w:t>
            </w:r>
            <w:r>
              <w:rPr>
                <w:rFonts w:hint="eastAsia" w:ascii="宋体" w:hAnsi="宋体" w:eastAsia="宋体" w:cs="宋体"/>
                <w:b w:val="0"/>
                <w:bCs w:val="0"/>
                <w:color w:val="auto"/>
                <w:sz w:val="21"/>
                <w:szCs w:val="21"/>
                <w:highlight w:val="none"/>
              </w:rPr>
              <w:t>并</w:t>
            </w:r>
            <w:r>
              <w:rPr>
                <w:rFonts w:hint="eastAsia" w:ascii="宋体" w:hAnsi="宋体" w:eastAsia="宋体" w:cs="宋体"/>
                <w:b w:val="0"/>
                <w:bCs w:val="0"/>
                <w:color w:val="auto"/>
                <w:sz w:val="21"/>
                <w:szCs w:val="21"/>
                <w:highlight w:val="none"/>
                <w:lang w:val="en-US" w:eastAsia="zh-CN"/>
              </w:rPr>
              <w:t>加</w:t>
            </w:r>
            <w:r>
              <w:rPr>
                <w:rFonts w:hint="eastAsia" w:ascii="宋体" w:hAnsi="宋体" w:eastAsia="宋体" w:cs="宋体"/>
                <w:b w:val="0"/>
                <w:bCs w:val="0"/>
                <w:color w:val="auto"/>
                <w:sz w:val="21"/>
                <w:szCs w:val="21"/>
                <w:highlight w:val="none"/>
              </w:rPr>
              <w:t>盖</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公章</w:t>
            </w:r>
            <w:r>
              <w:rPr>
                <w:rFonts w:hint="eastAsia" w:ascii="宋体" w:hAnsi="宋体" w:eastAsia="宋体" w:cs="宋体"/>
                <w:b w:val="0"/>
                <w:bCs w:val="0"/>
                <w:color w:val="auto"/>
                <w:sz w:val="21"/>
                <w:szCs w:val="21"/>
                <w:highlight w:val="none"/>
              </w:rPr>
              <w:t>）</w:t>
            </w:r>
          </w:p>
          <w:p w14:paraId="10D048C3">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具有肺过度膨胀系数C20/C等高级肺保护通气监测功能。（提供产品说明书关键信息页扫描件证明</w:t>
            </w:r>
            <w:r>
              <w:rPr>
                <w:rFonts w:hint="eastAsia" w:ascii="宋体" w:hAnsi="宋体" w:eastAsia="宋体" w:cs="宋体"/>
                <w:b w:val="0"/>
                <w:bCs w:val="0"/>
                <w:color w:val="auto"/>
                <w:sz w:val="21"/>
                <w:szCs w:val="21"/>
                <w:highlight w:val="none"/>
              </w:rPr>
              <w:t>并</w:t>
            </w:r>
            <w:r>
              <w:rPr>
                <w:rFonts w:hint="eastAsia" w:ascii="宋体" w:hAnsi="宋体" w:eastAsia="宋体" w:cs="宋体"/>
                <w:b w:val="0"/>
                <w:bCs w:val="0"/>
                <w:color w:val="auto"/>
                <w:sz w:val="21"/>
                <w:szCs w:val="21"/>
                <w:highlight w:val="none"/>
                <w:lang w:val="en-US" w:eastAsia="zh-CN"/>
              </w:rPr>
              <w:t>加</w:t>
            </w:r>
            <w:r>
              <w:rPr>
                <w:rFonts w:hint="eastAsia" w:ascii="宋体" w:hAnsi="宋体" w:eastAsia="宋体" w:cs="宋体"/>
                <w:b w:val="0"/>
                <w:bCs w:val="0"/>
                <w:color w:val="auto"/>
                <w:sz w:val="21"/>
                <w:szCs w:val="21"/>
                <w:highlight w:val="none"/>
              </w:rPr>
              <w:t>盖</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公章</w:t>
            </w:r>
            <w:r>
              <w:rPr>
                <w:rFonts w:hint="eastAsia" w:ascii="宋体" w:hAnsi="宋体" w:eastAsia="宋体" w:cs="宋体"/>
                <w:b w:val="0"/>
                <w:bCs w:val="0"/>
                <w:color w:val="auto"/>
                <w:sz w:val="21"/>
                <w:szCs w:val="21"/>
                <w:highlight w:val="none"/>
              </w:rPr>
              <w:t>）</w:t>
            </w:r>
          </w:p>
          <w:p w14:paraId="05F24F99">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3、基本参数设置</w:t>
            </w:r>
          </w:p>
          <w:p w14:paraId="4F4400AD">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 潮气量：20ml-4000ml</w:t>
            </w:r>
          </w:p>
          <w:p w14:paraId="429ABBE8">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 呼吸频率：1-100次/min</w:t>
            </w:r>
          </w:p>
          <w:p w14:paraId="674D9735">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3.3吸气时间：0.10 s～12.0 s</w:t>
            </w:r>
          </w:p>
          <w:p w14:paraId="357A74CD">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3.4 呼末正压：0-50cmH2O</w:t>
            </w:r>
          </w:p>
          <w:p w14:paraId="20E5BB76">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3.5 压力支持：0-65cmH2O</w:t>
            </w:r>
          </w:p>
          <w:p w14:paraId="73B10965">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3.6 吸气压力：1-65 cmH2O</w:t>
            </w:r>
          </w:p>
          <w:p w14:paraId="5802D02D">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3.7 呼气触发灵敏度：Auto，1-85%</w:t>
            </w:r>
          </w:p>
          <w:p w14:paraId="571E1AFF">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3.8 最大容辅/弹性阻力：10-100cmH2O/L（提供产品说明书关键信息页扫描件证明</w:t>
            </w:r>
            <w:r>
              <w:rPr>
                <w:rFonts w:hint="eastAsia" w:ascii="宋体" w:hAnsi="宋体" w:eastAsia="宋体" w:cs="宋体"/>
                <w:b w:val="0"/>
                <w:bCs w:val="0"/>
                <w:color w:val="auto"/>
                <w:sz w:val="21"/>
                <w:szCs w:val="21"/>
                <w:highlight w:val="none"/>
              </w:rPr>
              <w:t>并</w:t>
            </w:r>
            <w:r>
              <w:rPr>
                <w:rFonts w:hint="eastAsia" w:ascii="宋体" w:hAnsi="宋体" w:eastAsia="宋体" w:cs="宋体"/>
                <w:b w:val="0"/>
                <w:bCs w:val="0"/>
                <w:color w:val="auto"/>
                <w:sz w:val="21"/>
                <w:szCs w:val="21"/>
                <w:highlight w:val="none"/>
                <w:lang w:val="en-US" w:eastAsia="zh-CN"/>
              </w:rPr>
              <w:t>加</w:t>
            </w:r>
            <w:r>
              <w:rPr>
                <w:rFonts w:hint="eastAsia" w:ascii="宋体" w:hAnsi="宋体" w:eastAsia="宋体" w:cs="宋体"/>
                <w:b w:val="0"/>
                <w:bCs w:val="0"/>
                <w:color w:val="auto"/>
                <w:sz w:val="21"/>
                <w:szCs w:val="21"/>
                <w:highlight w:val="none"/>
              </w:rPr>
              <w:t>盖</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公章</w:t>
            </w:r>
            <w:r>
              <w:rPr>
                <w:rFonts w:hint="eastAsia" w:ascii="宋体" w:hAnsi="宋体" w:eastAsia="宋体" w:cs="宋体"/>
                <w:b w:val="0"/>
                <w:bCs w:val="0"/>
                <w:color w:val="auto"/>
                <w:sz w:val="21"/>
                <w:szCs w:val="21"/>
                <w:highlight w:val="none"/>
              </w:rPr>
              <w:t>）</w:t>
            </w:r>
          </w:p>
          <w:p w14:paraId="4408E74B">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3.9 最大流辅/粘性阻力：2-30cmH2O/L/s（提供产品说明书关键信息页扫描件证明</w:t>
            </w:r>
            <w:r>
              <w:rPr>
                <w:rFonts w:hint="eastAsia" w:ascii="宋体" w:hAnsi="宋体" w:eastAsia="宋体" w:cs="宋体"/>
                <w:b w:val="0"/>
                <w:bCs w:val="0"/>
                <w:color w:val="auto"/>
                <w:sz w:val="21"/>
                <w:szCs w:val="21"/>
                <w:highlight w:val="none"/>
              </w:rPr>
              <w:t>并</w:t>
            </w:r>
            <w:r>
              <w:rPr>
                <w:rFonts w:hint="eastAsia" w:ascii="宋体" w:hAnsi="宋体" w:eastAsia="宋体" w:cs="宋体"/>
                <w:b w:val="0"/>
                <w:bCs w:val="0"/>
                <w:color w:val="auto"/>
                <w:sz w:val="21"/>
                <w:szCs w:val="21"/>
                <w:highlight w:val="none"/>
                <w:lang w:val="en-US" w:eastAsia="zh-CN"/>
              </w:rPr>
              <w:t>加</w:t>
            </w:r>
            <w:r>
              <w:rPr>
                <w:rFonts w:hint="eastAsia" w:ascii="宋体" w:hAnsi="宋体" w:eastAsia="宋体" w:cs="宋体"/>
                <w:b w:val="0"/>
                <w:bCs w:val="0"/>
                <w:color w:val="auto"/>
                <w:sz w:val="21"/>
                <w:szCs w:val="21"/>
                <w:highlight w:val="none"/>
              </w:rPr>
              <w:t>盖</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公章</w:t>
            </w:r>
            <w:r>
              <w:rPr>
                <w:rFonts w:hint="eastAsia" w:ascii="宋体" w:hAnsi="宋体" w:eastAsia="宋体" w:cs="宋体"/>
                <w:b w:val="0"/>
                <w:bCs w:val="0"/>
                <w:color w:val="auto"/>
                <w:sz w:val="21"/>
                <w:szCs w:val="21"/>
                <w:highlight w:val="none"/>
              </w:rPr>
              <w:t>）</w:t>
            </w:r>
          </w:p>
          <w:p w14:paraId="296ECBE2">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3.10 触发灵敏度：流速触发：OFF 0.5L/min～20 L/min压力触发：-20cmH2O～-0.5cmH2O</w:t>
            </w:r>
          </w:p>
          <w:p w14:paraId="2E303A95">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3.11氧浓度：21-100%</w:t>
            </w:r>
          </w:p>
          <w:p w14:paraId="60CDFC4C">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 xml:space="preserve">3.12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PAV/PPS/PPV分钟通气量百分比：25-100%（提供产品说明书关键信息页扫描件证明</w:t>
            </w:r>
            <w:r>
              <w:rPr>
                <w:rFonts w:hint="eastAsia" w:ascii="宋体" w:hAnsi="宋体" w:eastAsia="宋体" w:cs="宋体"/>
                <w:b w:val="0"/>
                <w:bCs w:val="0"/>
                <w:color w:val="auto"/>
                <w:sz w:val="21"/>
                <w:szCs w:val="21"/>
                <w:highlight w:val="none"/>
              </w:rPr>
              <w:t>并</w:t>
            </w:r>
            <w:r>
              <w:rPr>
                <w:rFonts w:hint="eastAsia" w:ascii="宋体" w:hAnsi="宋体" w:eastAsia="宋体" w:cs="宋体"/>
                <w:b w:val="0"/>
                <w:bCs w:val="0"/>
                <w:color w:val="auto"/>
                <w:sz w:val="21"/>
                <w:szCs w:val="21"/>
                <w:highlight w:val="none"/>
                <w:lang w:val="en-US" w:eastAsia="zh-CN"/>
              </w:rPr>
              <w:t>加</w:t>
            </w:r>
            <w:r>
              <w:rPr>
                <w:rFonts w:hint="eastAsia" w:ascii="宋体" w:hAnsi="宋体" w:eastAsia="宋体" w:cs="宋体"/>
                <w:b w:val="0"/>
                <w:bCs w:val="0"/>
                <w:color w:val="auto"/>
                <w:sz w:val="21"/>
                <w:szCs w:val="21"/>
                <w:highlight w:val="none"/>
              </w:rPr>
              <w:t>盖</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公章</w:t>
            </w:r>
            <w:r>
              <w:rPr>
                <w:rFonts w:hint="eastAsia" w:ascii="宋体" w:hAnsi="宋体" w:eastAsia="宋体" w:cs="宋体"/>
                <w:b w:val="0"/>
                <w:bCs w:val="0"/>
                <w:color w:val="auto"/>
                <w:sz w:val="21"/>
                <w:szCs w:val="21"/>
                <w:highlight w:val="none"/>
              </w:rPr>
              <w:t>）</w:t>
            </w:r>
          </w:p>
          <w:p w14:paraId="3E07A8B4">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3.13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PAV/PPS/PPV最高压：6-40cmH2O</w:t>
            </w:r>
          </w:p>
          <w:p w14:paraId="62807018">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3.14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PAV/PPS/PPV最大潮气量：200-3500ml</w:t>
            </w:r>
          </w:p>
          <w:p w14:paraId="6C10DABD">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4、监测参数</w:t>
            </w:r>
          </w:p>
          <w:p w14:paraId="65FD41B1">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4.1 压力监测：PEEP、气道峰压、平台压、平均压等监测。</w:t>
            </w:r>
          </w:p>
          <w:p w14:paraId="0E28EDBB">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4.2 具有驱动压监测功能，范围：0-120 cmH2O。</w:t>
            </w:r>
          </w:p>
          <w:p w14:paraId="46E5D654">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4.3具有机械能监测功能，范围：0-100J/min。</w:t>
            </w:r>
          </w:p>
          <w:p w14:paraId="39EFB918">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4.4 每分钟呼出通气量：总的分钟通气量、自主呼吸的分钟通气量、泄漏的分钟通气量的监测。</w:t>
            </w:r>
          </w:p>
          <w:p w14:paraId="253040D8">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4.5 潮气量的监测：吸入潮气量、呼出潮气量、自主呼出潮气量的监测。</w:t>
            </w:r>
          </w:p>
          <w:p w14:paraId="03F8279E">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4.6 呼吸频率监测：总的呼吸频率、自主呼吸频率、机控呼吸频率的监测。</w:t>
            </w:r>
          </w:p>
          <w:p w14:paraId="45009974">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4.7 波形显示：压力/时间、流速/时间、容量/时间。</w:t>
            </w:r>
          </w:p>
          <w:p w14:paraId="52E45984">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5、数据、联网功能</w:t>
            </w:r>
          </w:p>
          <w:p w14:paraId="01C21ADB">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5.1具有数据存储功能，可存储监测参数趋势图、表、事件日志、环图等。</w:t>
            </w:r>
          </w:p>
          <w:p w14:paraId="0EDB284D">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5.2呼吸机提供锁屏以及截图功能，屏幕导出保存U盘。</w:t>
            </w:r>
          </w:p>
          <w:p w14:paraId="113D39EE">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rPr>
              <w:t>5.3能够和同一品牌模块化监护仪连接，在监护仪上实时显示呼吸机监测信息；通过无线网络或有线网络联网，呼吸机的监测信息可实时显示到中央监护站或全院监护系统，满足科室信息化的需求和呼吸机管理。</w:t>
            </w:r>
          </w:p>
          <w:p w14:paraId="3D90D3AB">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每套配置包含但不限于：</w:t>
            </w:r>
          </w:p>
          <w:tbl>
            <w:tblPr>
              <w:tblStyle w:val="12"/>
              <w:tblW w:w="7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4774"/>
              <w:gridCol w:w="818"/>
              <w:gridCol w:w="996"/>
            </w:tblGrid>
            <w:tr w14:paraId="7B63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058" w:type="dxa"/>
                  <w:noWrap w:val="0"/>
                  <w:vAlign w:val="top"/>
                </w:tcPr>
                <w:p w14:paraId="74F4FD6A">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4774" w:type="dxa"/>
                  <w:noWrap w:val="0"/>
                  <w:vAlign w:val="top"/>
                </w:tcPr>
                <w:p w14:paraId="6DB4C250">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货物名称</w:t>
                  </w:r>
                </w:p>
              </w:tc>
              <w:tc>
                <w:tcPr>
                  <w:tcW w:w="818" w:type="dxa"/>
                  <w:noWrap w:val="0"/>
                  <w:vAlign w:val="top"/>
                </w:tcPr>
                <w:p w14:paraId="232067D1">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数量</w:t>
                  </w:r>
                </w:p>
              </w:tc>
              <w:tc>
                <w:tcPr>
                  <w:tcW w:w="996" w:type="dxa"/>
                  <w:noWrap w:val="0"/>
                  <w:vAlign w:val="top"/>
                </w:tcPr>
                <w:p w14:paraId="70CF9239">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单位</w:t>
                  </w:r>
                </w:p>
              </w:tc>
            </w:tr>
            <w:tr w14:paraId="118D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058" w:type="dxa"/>
                  <w:noWrap w:val="0"/>
                  <w:vAlign w:val="center"/>
                </w:tcPr>
                <w:p w14:paraId="5E3E3243">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4774" w:type="dxa"/>
                  <w:noWrap w:val="0"/>
                  <w:vAlign w:val="center"/>
                </w:tcPr>
                <w:p w14:paraId="695279A7">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主机</w:t>
                  </w:r>
                </w:p>
              </w:tc>
              <w:tc>
                <w:tcPr>
                  <w:tcW w:w="818" w:type="dxa"/>
                  <w:noWrap w:val="0"/>
                  <w:vAlign w:val="center"/>
                </w:tcPr>
                <w:p w14:paraId="28DD689B">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96" w:type="dxa"/>
                  <w:noWrap w:val="0"/>
                  <w:vAlign w:val="center"/>
                </w:tcPr>
                <w:p w14:paraId="17DD5C17">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w:t>
                  </w:r>
                </w:p>
              </w:tc>
            </w:tr>
            <w:tr w14:paraId="0308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058" w:type="dxa"/>
                  <w:noWrap w:val="0"/>
                  <w:vAlign w:val="center"/>
                </w:tcPr>
                <w:p w14:paraId="3036F3FE">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4774" w:type="dxa"/>
                  <w:noWrap w:val="0"/>
                  <w:vAlign w:val="center"/>
                </w:tcPr>
                <w:p w14:paraId="6EA1F02D">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成人一次性呼吸管路</w:t>
                  </w:r>
                </w:p>
              </w:tc>
              <w:tc>
                <w:tcPr>
                  <w:tcW w:w="818" w:type="dxa"/>
                  <w:noWrap w:val="0"/>
                  <w:vAlign w:val="center"/>
                </w:tcPr>
                <w:p w14:paraId="7BCC603F">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96" w:type="dxa"/>
                  <w:noWrap w:val="0"/>
                  <w:vAlign w:val="center"/>
                </w:tcPr>
                <w:p w14:paraId="00F9AB7A">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套</w:t>
                  </w:r>
                </w:p>
              </w:tc>
            </w:tr>
            <w:tr w14:paraId="1BF18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058" w:type="dxa"/>
                  <w:noWrap w:val="0"/>
                  <w:vAlign w:val="center"/>
                </w:tcPr>
                <w:p w14:paraId="5F891904">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4774" w:type="dxa"/>
                  <w:noWrap w:val="0"/>
                  <w:vAlign w:val="center"/>
                </w:tcPr>
                <w:p w14:paraId="77793FF4">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一次性细菌过滤器</w:t>
                  </w:r>
                </w:p>
              </w:tc>
              <w:tc>
                <w:tcPr>
                  <w:tcW w:w="818" w:type="dxa"/>
                  <w:noWrap w:val="0"/>
                  <w:vAlign w:val="center"/>
                </w:tcPr>
                <w:p w14:paraId="74F242EB">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996" w:type="dxa"/>
                  <w:noWrap w:val="0"/>
                  <w:vAlign w:val="center"/>
                </w:tcPr>
                <w:p w14:paraId="2C868E36">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个</w:t>
                  </w:r>
                </w:p>
              </w:tc>
            </w:tr>
            <w:tr w14:paraId="1E3A4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058" w:type="dxa"/>
                  <w:noWrap w:val="0"/>
                  <w:vAlign w:val="center"/>
                </w:tcPr>
                <w:p w14:paraId="78330005">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4774" w:type="dxa"/>
                  <w:noWrap w:val="0"/>
                  <w:vAlign w:val="center"/>
                </w:tcPr>
                <w:p w14:paraId="2608D6C6">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近端一次性流量传感器</w:t>
                  </w:r>
                </w:p>
              </w:tc>
              <w:tc>
                <w:tcPr>
                  <w:tcW w:w="818" w:type="dxa"/>
                  <w:noWrap w:val="0"/>
                  <w:vAlign w:val="center"/>
                </w:tcPr>
                <w:p w14:paraId="05419DA3">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996" w:type="dxa"/>
                  <w:noWrap w:val="0"/>
                  <w:vAlign w:val="center"/>
                </w:tcPr>
                <w:p w14:paraId="511389EA">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个</w:t>
                  </w:r>
                </w:p>
              </w:tc>
            </w:tr>
            <w:tr w14:paraId="36CC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058" w:type="dxa"/>
                  <w:noWrap w:val="0"/>
                  <w:vAlign w:val="center"/>
                </w:tcPr>
                <w:p w14:paraId="1CE31BCE">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4774" w:type="dxa"/>
                  <w:noWrap w:val="0"/>
                  <w:vAlign w:val="center"/>
                </w:tcPr>
                <w:p w14:paraId="5142722A">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模拟测试肺</w:t>
                  </w:r>
                </w:p>
              </w:tc>
              <w:tc>
                <w:tcPr>
                  <w:tcW w:w="818" w:type="dxa"/>
                  <w:noWrap w:val="0"/>
                  <w:vAlign w:val="center"/>
                </w:tcPr>
                <w:p w14:paraId="00870CBF">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96" w:type="dxa"/>
                  <w:noWrap w:val="0"/>
                  <w:vAlign w:val="center"/>
                </w:tcPr>
                <w:p w14:paraId="7BDD9A13">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个</w:t>
                  </w:r>
                </w:p>
              </w:tc>
            </w:tr>
            <w:tr w14:paraId="7008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058" w:type="dxa"/>
                  <w:noWrap w:val="0"/>
                  <w:vAlign w:val="center"/>
                </w:tcPr>
                <w:p w14:paraId="664BDA12">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4774" w:type="dxa"/>
                  <w:noWrap w:val="0"/>
                  <w:vAlign w:val="center"/>
                </w:tcPr>
                <w:p w14:paraId="580DC3D1">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成人人工鼻</w:t>
                  </w:r>
                </w:p>
              </w:tc>
              <w:tc>
                <w:tcPr>
                  <w:tcW w:w="818" w:type="dxa"/>
                  <w:noWrap w:val="0"/>
                  <w:vAlign w:val="center"/>
                </w:tcPr>
                <w:p w14:paraId="56096739">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96" w:type="dxa"/>
                  <w:noWrap w:val="0"/>
                  <w:vAlign w:val="center"/>
                </w:tcPr>
                <w:p w14:paraId="2D450C97">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个</w:t>
                  </w:r>
                </w:p>
              </w:tc>
            </w:tr>
            <w:tr w14:paraId="7D760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058" w:type="dxa"/>
                  <w:noWrap w:val="0"/>
                  <w:vAlign w:val="center"/>
                </w:tcPr>
                <w:p w14:paraId="1DA4BAB4">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4774" w:type="dxa"/>
                  <w:noWrap w:val="0"/>
                  <w:vAlign w:val="center"/>
                </w:tcPr>
                <w:p w14:paraId="7AA723BE">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可充气麻醉面罩</w:t>
                  </w:r>
                </w:p>
              </w:tc>
              <w:tc>
                <w:tcPr>
                  <w:tcW w:w="818" w:type="dxa"/>
                  <w:noWrap w:val="0"/>
                  <w:vAlign w:val="center"/>
                </w:tcPr>
                <w:p w14:paraId="335697C0">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96" w:type="dxa"/>
                  <w:noWrap w:val="0"/>
                  <w:vAlign w:val="center"/>
                </w:tcPr>
                <w:p w14:paraId="7897A1D8">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个</w:t>
                  </w:r>
                </w:p>
              </w:tc>
            </w:tr>
            <w:tr w14:paraId="1029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058" w:type="dxa"/>
                  <w:noWrap w:val="0"/>
                  <w:vAlign w:val="center"/>
                </w:tcPr>
                <w:p w14:paraId="73F1A95B">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w:t>
                  </w:r>
                </w:p>
              </w:tc>
              <w:tc>
                <w:tcPr>
                  <w:tcW w:w="4774" w:type="dxa"/>
                  <w:noWrap w:val="0"/>
                  <w:vAlign w:val="center"/>
                </w:tcPr>
                <w:p w14:paraId="2C3881D7">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硅胶头带</w:t>
                  </w:r>
                </w:p>
              </w:tc>
              <w:tc>
                <w:tcPr>
                  <w:tcW w:w="818" w:type="dxa"/>
                  <w:noWrap w:val="0"/>
                  <w:vAlign w:val="center"/>
                </w:tcPr>
                <w:p w14:paraId="645F5BE4">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96" w:type="dxa"/>
                  <w:noWrap w:val="0"/>
                  <w:vAlign w:val="center"/>
                </w:tcPr>
                <w:p w14:paraId="40F35D49">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条</w:t>
                  </w:r>
                </w:p>
              </w:tc>
            </w:tr>
            <w:tr w14:paraId="7710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8" w:type="dxa"/>
                  <w:noWrap w:val="0"/>
                  <w:vAlign w:val="center"/>
                </w:tcPr>
                <w:p w14:paraId="7FF7816B">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w:t>
                  </w:r>
                </w:p>
              </w:tc>
              <w:tc>
                <w:tcPr>
                  <w:tcW w:w="4774" w:type="dxa"/>
                  <w:noWrap w:val="0"/>
                  <w:vAlign w:val="center"/>
                </w:tcPr>
                <w:p w14:paraId="5B90E4E0">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插座限位座</w:t>
                  </w:r>
                </w:p>
              </w:tc>
              <w:tc>
                <w:tcPr>
                  <w:tcW w:w="818" w:type="dxa"/>
                  <w:noWrap w:val="0"/>
                  <w:vAlign w:val="center"/>
                </w:tcPr>
                <w:p w14:paraId="70EA74E7">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96" w:type="dxa"/>
                  <w:noWrap w:val="0"/>
                  <w:vAlign w:val="center"/>
                </w:tcPr>
                <w:p w14:paraId="7C87B659">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个</w:t>
                  </w:r>
                </w:p>
              </w:tc>
            </w:tr>
            <w:tr w14:paraId="41490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058" w:type="dxa"/>
                  <w:noWrap w:val="0"/>
                  <w:vAlign w:val="center"/>
                </w:tcPr>
                <w:p w14:paraId="3EC627DC">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w:t>
                  </w:r>
                </w:p>
              </w:tc>
              <w:tc>
                <w:tcPr>
                  <w:tcW w:w="4774" w:type="dxa"/>
                  <w:noWrap w:val="0"/>
                  <w:vAlign w:val="center"/>
                </w:tcPr>
                <w:p w14:paraId="27B7D903">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电池</w:t>
                  </w:r>
                </w:p>
              </w:tc>
              <w:tc>
                <w:tcPr>
                  <w:tcW w:w="818" w:type="dxa"/>
                  <w:noWrap w:val="0"/>
                  <w:vAlign w:val="center"/>
                </w:tcPr>
                <w:p w14:paraId="356F3A85">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96" w:type="dxa"/>
                  <w:noWrap w:val="0"/>
                  <w:vAlign w:val="center"/>
                </w:tcPr>
                <w:p w14:paraId="0218D25D">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块</w:t>
                  </w:r>
                </w:p>
              </w:tc>
            </w:tr>
            <w:tr w14:paraId="0EF62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058" w:type="dxa"/>
                  <w:noWrap w:val="0"/>
                  <w:vAlign w:val="center"/>
                </w:tcPr>
                <w:p w14:paraId="1F30B978">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w:t>
                  </w:r>
                </w:p>
              </w:tc>
              <w:tc>
                <w:tcPr>
                  <w:tcW w:w="4774" w:type="dxa"/>
                  <w:noWrap w:val="0"/>
                  <w:vAlign w:val="center"/>
                </w:tcPr>
                <w:p w14:paraId="3F13B607">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氧气气源输入管</w:t>
                  </w:r>
                </w:p>
              </w:tc>
              <w:tc>
                <w:tcPr>
                  <w:tcW w:w="818" w:type="dxa"/>
                  <w:noWrap w:val="0"/>
                  <w:vAlign w:val="center"/>
                </w:tcPr>
                <w:p w14:paraId="138D770F">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1</w:t>
                  </w:r>
                </w:p>
              </w:tc>
              <w:tc>
                <w:tcPr>
                  <w:tcW w:w="996" w:type="dxa"/>
                  <w:noWrap w:val="0"/>
                  <w:vAlign w:val="center"/>
                </w:tcPr>
                <w:p w14:paraId="740B77A2">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根</w:t>
                  </w:r>
                </w:p>
              </w:tc>
            </w:tr>
            <w:tr w14:paraId="0A1ED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058" w:type="dxa"/>
                  <w:noWrap w:val="0"/>
                  <w:vAlign w:val="center"/>
                </w:tcPr>
                <w:p w14:paraId="13F77BF7">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w:t>
                  </w:r>
                </w:p>
              </w:tc>
              <w:tc>
                <w:tcPr>
                  <w:tcW w:w="4774" w:type="dxa"/>
                  <w:noWrap w:val="0"/>
                  <w:vAlign w:val="center"/>
                </w:tcPr>
                <w:p w14:paraId="3C451C5E">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蜗杆传动软管夹</w:t>
                  </w:r>
                </w:p>
              </w:tc>
              <w:tc>
                <w:tcPr>
                  <w:tcW w:w="818" w:type="dxa"/>
                  <w:noWrap w:val="0"/>
                  <w:vAlign w:val="center"/>
                </w:tcPr>
                <w:p w14:paraId="69B4CB53">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1</w:t>
                  </w:r>
                </w:p>
              </w:tc>
              <w:tc>
                <w:tcPr>
                  <w:tcW w:w="996" w:type="dxa"/>
                  <w:noWrap w:val="0"/>
                  <w:vAlign w:val="center"/>
                </w:tcPr>
                <w:p w14:paraId="511C2E31">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个</w:t>
                  </w:r>
                </w:p>
              </w:tc>
            </w:tr>
            <w:tr w14:paraId="28AD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058" w:type="dxa"/>
                  <w:noWrap w:val="0"/>
                  <w:vAlign w:val="center"/>
                </w:tcPr>
                <w:p w14:paraId="720FDF5C">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w:t>
                  </w:r>
                </w:p>
              </w:tc>
              <w:tc>
                <w:tcPr>
                  <w:tcW w:w="4774" w:type="dxa"/>
                  <w:noWrap w:val="0"/>
                  <w:vAlign w:val="center"/>
                </w:tcPr>
                <w:p w14:paraId="1A73BA1F">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电池盖</w:t>
                  </w:r>
                </w:p>
              </w:tc>
              <w:tc>
                <w:tcPr>
                  <w:tcW w:w="818" w:type="dxa"/>
                  <w:noWrap w:val="0"/>
                  <w:vAlign w:val="center"/>
                </w:tcPr>
                <w:p w14:paraId="40CDB065">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1</w:t>
                  </w:r>
                </w:p>
              </w:tc>
              <w:tc>
                <w:tcPr>
                  <w:tcW w:w="996" w:type="dxa"/>
                  <w:noWrap w:val="0"/>
                  <w:vAlign w:val="center"/>
                </w:tcPr>
                <w:p w14:paraId="7355F074">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个</w:t>
                  </w:r>
                </w:p>
              </w:tc>
            </w:tr>
            <w:tr w14:paraId="48D2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058" w:type="dxa"/>
                  <w:noWrap w:val="0"/>
                  <w:vAlign w:val="center"/>
                </w:tcPr>
                <w:p w14:paraId="620F17D8">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14</w:t>
                  </w:r>
                </w:p>
              </w:tc>
              <w:tc>
                <w:tcPr>
                  <w:tcW w:w="4774" w:type="dxa"/>
                  <w:noWrap w:val="0"/>
                  <w:vAlign w:val="center"/>
                </w:tcPr>
                <w:p w14:paraId="3148072A">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圆头机牙螺丝</w:t>
                  </w:r>
                </w:p>
              </w:tc>
              <w:tc>
                <w:tcPr>
                  <w:tcW w:w="818" w:type="dxa"/>
                  <w:noWrap w:val="0"/>
                  <w:vAlign w:val="center"/>
                </w:tcPr>
                <w:p w14:paraId="7A51B450">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2</w:t>
                  </w:r>
                </w:p>
              </w:tc>
              <w:tc>
                <w:tcPr>
                  <w:tcW w:w="996" w:type="dxa"/>
                  <w:noWrap w:val="0"/>
                  <w:vAlign w:val="center"/>
                </w:tcPr>
                <w:p w14:paraId="05B5913D">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个</w:t>
                  </w:r>
                </w:p>
              </w:tc>
            </w:tr>
            <w:tr w14:paraId="1646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058" w:type="dxa"/>
                  <w:noWrap w:val="0"/>
                  <w:vAlign w:val="center"/>
                </w:tcPr>
                <w:p w14:paraId="3088964E">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w:t>
                  </w:r>
                </w:p>
              </w:tc>
              <w:tc>
                <w:tcPr>
                  <w:tcW w:w="4774" w:type="dxa"/>
                  <w:noWrap w:val="0"/>
                  <w:vAlign w:val="center"/>
                </w:tcPr>
                <w:p w14:paraId="60CBDD09">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电池缓冲垫</w:t>
                  </w:r>
                </w:p>
              </w:tc>
              <w:tc>
                <w:tcPr>
                  <w:tcW w:w="818" w:type="dxa"/>
                  <w:noWrap w:val="0"/>
                  <w:vAlign w:val="center"/>
                </w:tcPr>
                <w:p w14:paraId="4DF1A771">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1</w:t>
                  </w:r>
                </w:p>
              </w:tc>
              <w:tc>
                <w:tcPr>
                  <w:tcW w:w="996" w:type="dxa"/>
                  <w:noWrap w:val="0"/>
                  <w:vAlign w:val="center"/>
                </w:tcPr>
                <w:p w14:paraId="49FA74CA">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个</w:t>
                  </w:r>
                </w:p>
              </w:tc>
            </w:tr>
            <w:tr w14:paraId="4605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8" w:type="dxa"/>
                  <w:noWrap w:val="0"/>
                  <w:vAlign w:val="center"/>
                </w:tcPr>
                <w:p w14:paraId="365F788E">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16</w:t>
                  </w:r>
                </w:p>
              </w:tc>
              <w:tc>
                <w:tcPr>
                  <w:tcW w:w="4774" w:type="dxa"/>
                  <w:noWrap w:val="0"/>
                  <w:vAlign w:val="center"/>
                </w:tcPr>
                <w:p w14:paraId="1B8EE73C">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氧气接头</w:t>
                  </w:r>
                </w:p>
              </w:tc>
              <w:tc>
                <w:tcPr>
                  <w:tcW w:w="818" w:type="dxa"/>
                  <w:noWrap w:val="0"/>
                  <w:vAlign w:val="center"/>
                </w:tcPr>
                <w:p w14:paraId="28098CD3">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1</w:t>
                  </w:r>
                </w:p>
              </w:tc>
              <w:tc>
                <w:tcPr>
                  <w:tcW w:w="996" w:type="dxa"/>
                  <w:noWrap w:val="0"/>
                  <w:vAlign w:val="center"/>
                </w:tcPr>
                <w:p w14:paraId="04F83D2D">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个</w:t>
                  </w:r>
                </w:p>
              </w:tc>
            </w:tr>
            <w:tr w14:paraId="2E7BA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8" w:type="dxa"/>
                  <w:noWrap w:val="0"/>
                  <w:vAlign w:val="center"/>
                </w:tcPr>
                <w:p w14:paraId="288698D0">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17</w:t>
                  </w:r>
                </w:p>
              </w:tc>
              <w:tc>
                <w:tcPr>
                  <w:tcW w:w="4774" w:type="dxa"/>
                  <w:noWrap w:val="0"/>
                  <w:vAlign w:val="center"/>
                </w:tcPr>
                <w:p w14:paraId="44EC0403">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接头转换器</w:t>
                  </w:r>
                </w:p>
              </w:tc>
              <w:tc>
                <w:tcPr>
                  <w:tcW w:w="818" w:type="dxa"/>
                  <w:noWrap w:val="0"/>
                  <w:vAlign w:val="center"/>
                </w:tcPr>
                <w:p w14:paraId="010ED282">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96" w:type="dxa"/>
                  <w:noWrap w:val="0"/>
                  <w:vAlign w:val="center"/>
                </w:tcPr>
                <w:p w14:paraId="6CE5D508">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个</w:t>
                  </w:r>
                </w:p>
              </w:tc>
            </w:tr>
            <w:tr w14:paraId="12100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8" w:type="dxa"/>
                  <w:noWrap w:val="0"/>
                  <w:vAlign w:val="center"/>
                </w:tcPr>
                <w:p w14:paraId="58FEFDE7">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w:t>
                  </w:r>
                </w:p>
              </w:tc>
              <w:tc>
                <w:tcPr>
                  <w:tcW w:w="4774" w:type="dxa"/>
                  <w:noWrap w:val="0"/>
                  <w:vAlign w:val="center"/>
                </w:tcPr>
                <w:p w14:paraId="54F2358A">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转运氧气瓶</w:t>
                  </w:r>
                </w:p>
              </w:tc>
              <w:tc>
                <w:tcPr>
                  <w:tcW w:w="818" w:type="dxa"/>
                  <w:noWrap w:val="0"/>
                  <w:vAlign w:val="center"/>
                </w:tcPr>
                <w:p w14:paraId="2C71C2BA">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996" w:type="dxa"/>
                  <w:noWrap w:val="0"/>
                  <w:vAlign w:val="center"/>
                </w:tcPr>
                <w:p w14:paraId="1DF39407">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个</w:t>
                  </w:r>
                </w:p>
              </w:tc>
            </w:tr>
            <w:tr w14:paraId="10120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58" w:type="dxa"/>
                  <w:noWrap w:val="0"/>
                  <w:vAlign w:val="center"/>
                </w:tcPr>
                <w:p w14:paraId="06F7415C">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19</w:t>
                  </w:r>
                </w:p>
              </w:tc>
              <w:tc>
                <w:tcPr>
                  <w:tcW w:w="4774" w:type="dxa"/>
                  <w:noWrap w:val="0"/>
                  <w:vAlign w:val="center"/>
                </w:tcPr>
                <w:p w14:paraId="210EFD41">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氧气插头（插头标准根据医院医院需求提供）</w:t>
                  </w:r>
                </w:p>
              </w:tc>
              <w:tc>
                <w:tcPr>
                  <w:tcW w:w="818" w:type="dxa"/>
                  <w:noWrap w:val="0"/>
                  <w:vAlign w:val="center"/>
                </w:tcPr>
                <w:p w14:paraId="6D46F891">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96" w:type="dxa"/>
                  <w:noWrap w:val="0"/>
                  <w:vAlign w:val="center"/>
                </w:tcPr>
                <w:p w14:paraId="2B3AA826">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个</w:t>
                  </w:r>
                </w:p>
              </w:tc>
            </w:tr>
            <w:tr w14:paraId="24ED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058" w:type="dxa"/>
                  <w:noWrap w:val="0"/>
                  <w:vAlign w:val="center"/>
                </w:tcPr>
                <w:p w14:paraId="0D1744FB">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20</w:t>
                  </w:r>
                </w:p>
              </w:tc>
              <w:tc>
                <w:tcPr>
                  <w:tcW w:w="4774" w:type="dxa"/>
                  <w:noWrap w:val="0"/>
                  <w:vAlign w:val="center"/>
                </w:tcPr>
                <w:p w14:paraId="19BC49B9">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电源线</w:t>
                  </w:r>
                </w:p>
              </w:tc>
              <w:tc>
                <w:tcPr>
                  <w:tcW w:w="818" w:type="dxa"/>
                  <w:noWrap w:val="0"/>
                  <w:vAlign w:val="center"/>
                </w:tcPr>
                <w:p w14:paraId="1012CAEA">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96" w:type="dxa"/>
                  <w:noWrap w:val="0"/>
                  <w:vAlign w:val="center"/>
                </w:tcPr>
                <w:p w14:paraId="082A6E28">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根</w:t>
                  </w:r>
                </w:p>
              </w:tc>
            </w:tr>
            <w:tr w14:paraId="2ABE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center"/>
                </w:tcPr>
                <w:p w14:paraId="205CFDFA">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21</w:t>
                  </w:r>
                </w:p>
              </w:tc>
              <w:tc>
                <w:tcPr>
                  <w:tcW w:w="4774" w:type="dxa"/>
                  <w:noWrap w:val="0"/>
                  <w:vAlign w:val="center"/>
                </w:tcPr>
                <w:p w14:paraId="455DD0E4">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十字盘头螺钉组合件</w:t>
                  </w:r>
                </w:p>
              </w:tc>
              <w:tc>
                <w:tcPr>
                  <w:tcW w:w="818" w:type="dxa"/>
                  <w:noWrap w:val="0"/>
                  <w:vAlign w:val="center"/>
                </w:tcPr>
                <w:p w14:paraId="18EA565F">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2</w:t>
                  </w:r>
                </w:p>
              </w:tc>
              <w:tc>
                <w:tcPr>
                  <w:tcW w:w="996" w:type="dxa"/>
                  <w:noWrap w:val="0"/>
                  <w:vAlign w:val="center"/>
                </w:tcPr>
                <w:p w14:paraId="797F8EB0">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套</w:t>
                  </w:r>
                </w:p>
              </w:tc>
            </w:tr>
            <w:tr w14:paraId="634D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58" w:type="dxa"/>
                  <w:noWrap w:val="0"/>
                  <w:vAlign w:val="center"/>
                </w:tcPr>
                <w:p w14:paraId="5E03301D">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22</w:t>
                  </w:r>
                </w:p>
              </w:tc>
              <w:tc>
                <w:tcPr>
                  <w:tcW w:w="4774" w:type="dxa"/>
                  <w:noWrap w:val="0"/>
                  <w:vAlign w:val="center"/>
                </w:tcPr>
                <w:p w14:paraId="5612FA71">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使用说明书</w:t>
                  </w:r>
                </w:p>
              </w:tc>
              <w:tc>
                <w:tcPr>
                  <w:tcW w:w="818" w:type="dxa"/>
                  <w:noWrap w:val="0"/>
                  <w:vAlign w:val="center"/>
                </w:tcPr>
                <w:p w14:paraId="27F20255">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1</w:t>
                  </w:r>
                </w:p>
              </w:tc>
              <w:tc>
                <w:tcPr>
                  <w:tcW w:w="996" w:type="dxa"/>
                  <w:noWrap w:val="0"/>
                  <w:vAlign w:val="center"/>
                </w:tcPr>
                <w:p w14:paraId="613D8920">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份</w:t>
                  </w:r>
                </w:p>
              </w:tc>
            </w:tr>
            <w:tr w14:paraId="1685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58" w:type="dxa"/>
                  <w:noWrap w:val="0"/>
                  <w:vAlign w:val="center"/>
                </w:tcPr>
                <w:p w14:paraId="12C5197D">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23</w:t>
                  </w:r>
                </w:p>
              </w:tc>
              <w:tc>
                <w:tcPr>
                  <w:tcW w:w="4774" w:type="dxa"/>
                  <w:noWrap w:val="0"/>
                  <w:vAlign w:val="center"/>
                </w:tcPr>
                <w:p w14:paraId="4B9E9469">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快速操作指南</w:t>
                  </w:r>
                </w:p>
              </w:tc>
              <w:tc>
                <w:tcPr>
                  <w:tcW w:w="818" w:type="dxa"/>
                  <w:noWrap w:val="0"/>
                  <w:vAlign w:val="center"/>
                </w:tcPr>
                <w:p w14:paraId="35C23D4E">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1</w:t>
                  </w:r>
                </w:p>
              </w:tc>
              <w:tc>
                <w:tcPr>
                  <w:tcW w:w="996" w:type="dxa"/>
                  <w:noWrap w:val="0"/>
                  <w:vAlign w:val="center"/>
                </w:tcPr>
                <w:p w14:paraId="1EE1FC60">
                  <w:pPr>
                    <w:spacing w:line="36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份</w:t>
                  </w:r>
                </w:p>
              </w:tc>
            </w:tr>
          </w:tbl>
          <w:p w14:paraId="55300CBB">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highlight w:val="none"/>
              </w:rPr>
            </w:pPr>
          </w:p>
          <w:p w14:paraId="5AC4DA71">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highlight w:val="none"/>
              </w:rPr>
            </w:pPr>
          </w:p>
          <w:p w14:paraId="6BBC37DA">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注：1.以技术（参数）要求序号最细的（如</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与1.</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之间，</w:t>
            </w: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为最细序号）作为一项参数。</w:t>
            </w:r>
          </w:p>
          <w:p w14:paraId="7FD7A914">
            <w:pPr>
              <w:pStyle w:val="17"/>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2.投标人应对“2.技术标准与要求”中的各个条款在投标文件格式的《技术和服务要求响应表》中作出响应。</w:t>
            </w:r>
          </w:p>
        </w:tc>
      </w:tr>
      <w:tr w14:paraId="218D0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491" w:type="dxa"/>
            <w:noWrap w:val="0"/>
            <w:vAlign w:val="center"/>
          </w:tcPr>
          <w:p w14:paraId="0DB971EE">
            <w:pPr>
              <w:keepNext/>
              <w:keepLines/>
              <w:adjustRightInd w:val="0"/>
              <w:spacing w:line="360" w:lineRule="auto"/>
              <w:jc w:val="center"/>
              <w:textAlignment w:val="baseline"/>
              <w:outlineLvl w:val="1"/>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说明</w:t>
            </w:r>
          </w:p>
        </w:tc>
        <w:tc>
          <w:tcPr>
            <w:tcW w:w="8904" w:type="dxa"/>
            <w:gridSpan w:val="2"/>
            <w:noWrap w:val="0"/>
            <w:vAlign w:val="center"/>
          </w:tcPr>
          <w:p w14:paraId="382EF0D9">
            <w:pPr>
              <w:keepNext/>
              <w:keepLines/>
              <w:adjustRightInd w:val="0"/>
              <w:spacing w:line="360" w:lineRule="auto"/>
              <w:jc w:val="left"/>
              <w:textAlignment w:val="baseline"/>
              <w:outlineLvl w:val="1"/>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打“★”号条款为实质性条款，若有任何一条负偏离或不满足则导致投标（响应）无效。</w:t>
            </w:r>
          </w:p>
          <w:p w14:paraId="4BD0C30E">
            <w:pPr>
              <w:keepNext/>
              <w:keepLines/>
              <w:adjustRightInd w:val="0"/>
              <w:spacing w:line="360" w:lineRule="auto"/>
              <w:jc w:val="left"/>
              <w:textAlignment w:val="baseline"/>
              <w:outlineLvl w:val="1"/>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打“▲”号条款为重要技术参数（如有），若有部分“▲”条款未响应或不满足，将根据评审要求影响其得分，但不作为无效投标（响应）条款。</w:t>
            </w:r>
          </w:p>
        </w:tc>
      </w:tr>
    </w:tbl>
    <w:p w14:paraId="27A7E4DF">
      <w:pPr>
        <w:pStyle w:val="9"/>
        <w:spacing w:line="360" w:lineRule="auto"/>
        <w:jc w:val="left"/>
        <w:rPr>
          <w:rFonts w:hint="eastAsia" w:ascii="宋体" w:hAnsi="宋体" w:eastAsia="宋体" w:cs="宋体"/>
          <w:color w:val="auto"/>
          <w:sz w:val="24"/>
          <w:szCs w:val="24"/>
          <w:highlight w:val="none"/>
        </w:rPr>
      </w:pPr>
    </w:p>
    <w:p w14:paraId="0E546CB8">
      <w:pPr>
        <w:pStyle w:val="9"/>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除颤仪、呼吸湿化治疗仪、壁式医用负压吸引器、AED除颤仪</w:t>
      </w:r>
      <w:r>
        <w:rPr>
          <w:rFonts w:hint="eastAsia" w:ascii="宋体" w:hAnsi="宋体" w:eastAsia="宋体" w:cs="宋体"/>
          <w:color w:val="auto"/>
          <w:sz w:val="24"/>
          <w:szCs w:val="24"/>
          <w:highlight w:val="none"/>
        </w:rPr>
        <w:t>）：</w:t>
      </w:r>
    </w:p>
    <w:p w14:paraId="054171FE">
      <w:pPr>
        <w:keepNext/>
        <w:keepLines/>
        <w:adjustRightInd w:val="0"/>
        <w:spacing w:beforeLines="50" w:afterLines="50" w:line="360" w:lineRule="auto"/>
        <w:textAlignment w:val="baseline"/>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1.主要商务要求</w:t>
      </w:r>
    </w:p>
    <w:tbl>
      <w:tblPr>
        <w:tblStyle w:val="12"/>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6952"/>
      </w:tblGrid>
      <w:tr w14:paraId="08F79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112" w:type="dxa"/>
            <w:noWrap w:val="0"/>
            <w:vAlign w:val="center"/>
          </w:tcPr>
          <w:p w14:paraId="603D13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标的提供的时间</w:t>
            </w:r>
          </w:p>
        </w:tc>
        <w:tc>
          <w:tcPr>
            <w:tcW w:w="6952" w:type="dxa"/>
            <w:noWrap w:val="0"/>
            <w:vAlign w:val="center"/>
          </w:tcPr>
          <w:p w14:paraId="268E5E5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合同签订后</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0个工作日内</w:t>
            </w:r>
            <w:r>
              <w:rPr>
                <w:rFonts w:hint="eastAsia" w:ascii="宋体" w:hAnsi="宋体" w:eastAsia="宋体" w:cs="宋体"/>
                <w:color w:val="auto"/>
                <w:sz w:val="21"/>
                <w:szCs w:val="21"/>
                <w:highlight w:val="none"/>
                <w:lang w:eastAsia="zh-CN"/>
              </w:rPr>
              <w:t>；如因采购人场地未能达到设备要求的安装条件或其他不可控因素而导致不能按期收货的，采购人中标人双方另行商定交货时间。</w:t>
            </w:r>
          </w:p>
        </w:tc>
      </w:tr>
      <w:tr w14:paraId="4A76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112" w:type="dxa"/>
            <w:noWrap w:val="0"/>
            <w:vAlign w:val="center"/>
          </w:tcPr>
          <w:p w14:paraId="05CE8A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标的提供的地点</w:t>
            </w:r>
          </w:p>
        </w:tc>
        <w:tc>
          <w:tcPr>
            <w:tcW w:w="6952" w:type="dxa"/>
            <w:noWrap w:val="0"/>
            <w:vAlign w:val="center"/>
          </w:tcPr>
          <w:p w14:paraId="0A5D3B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运输及卸车至采购人（用户）指定地点：广东省人民医院南海医院（佛山市南海区第二人民医院）</w:t>
            </w:r>
          </w:p>
        </w:tc>
      </w:tr>
      <w:tr w14:paraId="3338E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112" w:type="dxa"/>
            <w:noWrap w:val="0"/>
            <w:vAlign w:val="center"/>
          </w:tcPr>
          <w:p w14:paraId="2B9BC5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6952" w:type="dxa"/>
            <w:noWrap w:val="0"/>
            <w:vAlign w:val="center"/>
          </w:tcPr>
          <w:p w14:paraId="58DF325A">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第1期为（</w:t>
            </w:r>
            <w:r>
              <w:rPr>
                <w:rFonts w:hint="eastAsia" w:ascii="宋体" w:hAnsi="宋体" w:eastAsia="宋体" w:cs="宋体"/>
                <w:b/>
                <w:bCs/>
                <w:color w:val="auto"/>
                <w:kern w:val="2"/>
                <w:sz w:val="21"/>
                <w:szCs w:val="21"/>
                <w:highlight w:val="none"/>
              </w:rPr>
              <w:t>全款</w:t>
            </w:r>
            <w:r>
              <w:rPr>
                <w:rFonts w:hint="eastAsia" w:ascii="宋体" w:hAnsi="宋体" w:eastAsia="宋体" w:cs="宋体"/>
                <w:b/>
                <w:bCs/>
                <w:color w:val="auto"/>
                <w:kern w:val="2"/>
                <w:sz w:val="21"/>
                <w:szCs w:val="21"/>
                <w:highlight w:val="none"/>
              </w:rPr>
              <w:t>）：</w:t>
            </w:r>
            <w:r>
              <w:rPr>
                <w:rFonts w:hint="eastAsia" w:ascii="宋体" w:hAnsi="宋体" w:eastAsia="宋体" w:cs="宋体"/>
                <w:color w:val="auto"/>
                <w:kern w:val="2"/>
                <w:sz w:val="21"/>
                <w:szCs w:val="21"/>
                <w:highlight w:val="none"/>
              </w:rPr>
              <w:t>支付比例</w:t>
            </w:r>
            <w:r>
              <w:rPr>
                <w:rFonts w:hint="eastAsia" w:ascii="宋体" w:hAnsi="宋体" w:eastAsia="宋体" w:cs="宋体"/>
                <w:color w:val="auto"/>
                <w:kern w:val="2"/>
                <w:sz w:val="21"/>
                <w:szCs w:val="21"/>
                <w:highlight w:val="none"/>
                <w:lang w:val="en-US" w:eastAsia="zh-CN"/>
              </w:rPr>
              <w:t>100</w:t>
            </w:r>
            <w:r>
              <w:rPr>
                <w:rFonts w:hint="eastAsia" w:ascii="宋体" w:hAnsi="宋体" w:eastAsia="宋体" w:cs="宋体"/>
                <w:color w:val="auto"/>
                <w:kern w:val="2"/>
                <w:sz w:val="21"/>
                <w:szCs w:val="21"/>
                <w:highlight w:val="none"/>
              </w:rPr>
              <w:t>%，</w:t>
            </w:r>
          </w:p>
          <w:p w14:paraId="767B238C">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2"/>
                <w:sz w:val="21"/>
                <w:szCs w:val="21"/>
                <w:highlight w:val="none"/>
                <w:lang w:eastAsia="zh-CN"/>
              </w:rPr>
              <w:t>合同全部设备到</w:t>
            </w:r>
            <w:r>
              <w:rPr>
                <w:rFonts w:hint="eastAsia" w:ascii="宋体" w:hAnsi="宋体" w:eastAsia="宋体" w:cs="宋体"/>
                <w:b w:val="0"/>
                <w:bCs w:val="0"/>
                <w:color w:val="auto"/>
                <w:kern w:val="2"/>
                <w:sz w:val="21"/>
                <w:szCs w:val="21"/>
                <w:highlight w:val="none"/>
                <w:lang w:eastAsia="zh-CN"/>
              </w:rPr>
              <w:t>采购</w:t>
            </w:r>
            <w:r>
              <w:rPr>
                <w:rFonts w:hint="eastAsia" w:ascii="宋体" w:hAnsi="宋体" w:eastAsia="宋体" w:cs="宋体"/>
                <w:b w:val="0"/>
                <w:bCs w:val="0"/>
                <w:color w:val="auto"/>
                <w:kern w:val="2"/>
                <w:sz w:val="21"/>
                <w:szCs w:val="21"/>
                <w:highlight w:val="none"/>
                <w:lang w:val="en-US" w:eastAsia="zh-CN"/>
              </w:rPr>
              <w:t>人</w:t>
            </w:r>
            <w:r>
              <w:rPr>
                <w:rFonts w:hint="eastAsia" w:ascii="宋体" w:hAnsi="宋体" w:eastAsia="宋体" w:cs="宋体"/>
                <w:b w:val="0"/>
                <w:bCs w:val="0"/>
                <w:color w:val="auto"/>
                <w:kern w:val="2"/>
                <w:sz w:val="21"/>
                <w:szCs w:val="21"/>
                <w:highlight w:val="none"/>
                <w:lang w:eastAsia="zh-CN"/>
              </w:rPr>
              <w:t>指定地点完成交付，安装、调试、培训并验收合格后，</w:t>
            </w:r>
            <w:r>
              <w:rPr>
                <w:rFonts w:hint="eastAsia" w:ascii="宋体" w:hAnsi="宋体" w:eastAsia="宋体" w:cs="宋体"/>
                <w:b w:val="0"/>
                <w:bCs w:val="0"/>
                <w:color w:val="auto"/>
                <w:kern w:val="2"/>
                <w:sz w:val="21"/>
                <w:szCs w:val="21"/>
                <w:highlight w:val="none"/>
                <w:lang w:val="en-US" w:eastAsia="zh-CN"/>
              </w:rPr>
              <w:t>中标人</w:t>
            </w:r>
            <w:r>
              <w:rPr>
                <w:rFonts w:hint="eastAsia" w:ascii="宋体" w:hAnsi="宋体" w:eastAsia="宋体" w:cs="宋体"/>
                <w:b w:val="0"/>
                <w:bCs w:val="0"/>
                <w:color w:val="auto"/>
                <w:kern w:val="2"/>
                <w:sz w:val="21"/>
                <w:szCs w:val="21"/>
                <w:highlight w:val="none"/>
                <w:lang w:eastAsia="zh-CN"/>
              </w:rPr>
              <w:t>书面提出付款申请，凭付款申请书、与商品名称相符的合法全额发票和合同原件、安装验收报告（需有双方签字、盖章）及相关验收资料等，</w:t>
            </w:r>
            <w:r>
              <w:rPr>
                <w:rFonts w:hint="eastAsia" w:ascii="宋体" w:hAnsi="宋体" w:eastAsia="宋体" w:cs="宋体"/>
                <w:b w:val="0"/>
                <w:bCs w:val="0"/>
                <w:color w:val="auto"/>
                <w:kern w:val="2"/>
                <w:sz w:val="21"/>
                <w:szCs w:val="21"/>
                <w:highlight w:val="none"/>
                <w:lang w:eastAsia="zh-CN"/>
              </w:rPr>
              <w:t>采购</w:t>
            </w:r>
            <w:r>
              <w:rPr>
                <w:rFonts w:hint="eastAsia" w:ascii="宋体" w:hAnsi="宋体" w:eastAsia="宋体" w:cs="宋体"/>
                <w:b w:val="0"/>
                <w:bCs w:val="0"/>
                <w:color w:val="auto"/>
                <w:kern w:val="2"/>
                <w:sz w:val="21"/>
                <w:szCs w:val="21"/>
                <w:highlight w:val="none"/>
                <w:lang w:val="en-US" w:eastAsia="zh-CN"/>
              </w:rPr>
              <w:t>人</w:t>
            </w:r>
            <w:r>
              <w:rPr>
                <w:rFonts w:hint="eastAsia" w:ascii="宋体" w:hAnsi="宋体" w:eastAsia="宋体" w:cs="宋体"/>
                <w:b w:val="0"/>
                <w:bCs w:val="0"/>
                <w:color w:val="auto"/>
                <w:kern w:val="2"/>
                <w:sz w:val="21"/>
                <w:szCs w:val="21"/>
                <w:highlight w:val="none"/>
                <w:lang w:eastAsia="zh-CN"/>
              </w:rPr>
              <w:t>经确认无误后启动支付流程，支付合同总金额的100%。</w:t>
            </w:r>
            <w:r>
              <w:rPr>
                <w:rFonts w:hint="eastAsia" w:ascii="宋体" w:hAnsi="宋体" w:eastAsia="宋体" w:cs="宋体"/>
                <w:b w:val="0"/>
                <w:bCs w:val="0"/>
                <w:color w:val="auto"/>
                <w:kern w:val="2"/>
                <w:sz w:val="21"/>
                <w:szCs w:val="21"/>
                <w:highlight w:val="none"/>
                <w:lang w:eastAsia="zh-CN"/>
              </w:rPr>
              <w:t>采购</w:t>
            </w:r>
            <w:r>
              <w:rPr>
                <w:rFonts w:hint="eastAsia" w:ascii="宋体" w:hAnsi="宋体" w:eastAsia="宋体" w:cs="宋体"/>
                <w:b w:val="0"/>
                <w:bCs w:val="0"/>
                <w:color w:val="auto"/>
                <w:kern w:val="2"/>
                <w:sz w:val="21"/>
                <w:szCs w:val="21"/>
                <w:highlight w:val="none"/>
                <w:lang w:val="en-US" w:eastAsia="zh-CN"/>
              </w:rPr>
              <w:t>人</w:t>
            </w:r>
            <w:r>
              <w:rPr>
                <w:rFonts w:hint="eastAsia" w:ascii="宋体" w:hAnsi="宋体" w:eastAsia="宋体" w:cs="宋体"/>
                <w:b w:val="0"/>
                <w:bCs w:val="0"/>
                <w:color w:val="auto"/>
                <w:kern w:val="2"/>
                <w:sz w:val="21"/>
                <w:szCs w:val="21"/>
                <w:highlight w:val="none"/>
                <w:lang w:eastAsia="zh-CN"/>
              </w:rPr>
              <w:t>在收到</w:t>
            </w:r>
            <w:r>
              <w:rPr>
                <w:rFonts w:hint="eastAsia" w:ascii="宋体" w:hAnsi="宋体" w:eastAsia="宋体" w:cs="宋体"/>
                <w:b w:val="0"/>
                <w:bCs w:val="0"/>
                <w:color w:val="auto"/>
                <w:kern w:val="2"/>
                <w:sz w:val="21"/>
                <w:szCs w:val="21"/>
                <w:highlight w:val="none"/>
                <w:lang w:val="en-US" w:eastAsia="zh-CN"/>
              </w:rPr>
              <w:t>中标人</w:t>
            </w:r>
            <w:r>
              <w:rPr>
                <w:rFonts w:hint="eastAsia" w:ascii="宋体" w:hAnsi="宋体" w:eastAsia="宋体" w:cs="宋体"/>
                <w:b w:val="0"/>
                <w:bCs w:val="0"/>
                <w:color w:val="auto"/>
                <w:kern w:val="2"/>
                <w:sz w:val="21"/>
                <w:szCs w:val="21"/>
                <w:highlight w:val="none"/>
                <w:lang w:eastAsia="zh-CN"/>
              </w:rPr>
              <w:t>书面付款申请及相关资料后，有权对设备的运行情况进行再次检查，如发现设备存在任何问题，</w:t>
            </w:r>
            <w:r>
              <w:rPr>
                <w:rFonts w:hint="eastAsia" w:ascii="宋体" w:hAnsi="宋体" w:eastAsia="宋体" w:cs="宋体"/>
                <w:b w:val="0"/>
                <w:bCs w:val="0"/>
                <w:color w:val="auto"/>
                <w:kern w:val="2"/>
                <w:sz w:val="21"/>
                <w:szCs w:val="21"/>
                <w:highlight w:val="none"/>
                <w:lang w:eastAsia="zh-CN"/>
              </w:rPr>
              <w:t>采购</w:t>
            </w:r>
            <w:r>
              <w:rPr>
                <w:rFonts w:hint="eastAsia" w:ascii="宋体" w:hAnsi="宋体" w:eastAsia="宋体" w:cs="宋体"/>
                <w:b w:val="0"/>
                <w:bCs w:val="0"/>
                <w:color w:val="auto"/>
                <w:kern w:val="2"/>
                <w:sz w:val="21"/>
                <w:szCs w:val="21"/>
                <w:highlight w:val="none"/>
                <w:lang w:val="en-US" w:eastAsia="zh-CN"/>
              </w:rPr>
              <w:t>人</w:t>
            </w:r>
            <w:r>
              <w:rPr>
                <w:rFonts w:hint="eastAsia" w:ascii="宋体" w:hAnsi="宋体" w:eastAsia="宋体" w:cs="宋体"/>
                <w:b w:val="0"/>
                <w:bCs w:val="0"/>
                <w:color w:val="auto"/>
                <w:kern w:val="2"/>
                <w:sz w:val="21"/>
                <w:szCs w:val="21"/>
                <w:highlight w:val="none"/>
                <w:lang w:eastAsia="zh-CN"/>
              </w:rPr>
              <w:t>有权暂停支付，直至问题解决。</w:t>
            </w:r>
          </w:p>
          <w:p w14:paraId="58D4798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付款要求：</w:t>
            </w:r>
          </w:p>
          <w:p w14:paraId="4E19E7B4">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b w:val="0"/>
                <w:bCs w:val="0"/>
                <w:color w:val="auto"/>
                <w:sz w:val="21"/>
                <w:szCs w:val="21"/>
                <w:highlight w:val="none"/>
              </w:rPr>
              <w:t>款项以人民币支票或者转账的方式支付。</w:t>
            </w:r>
          </w:p>
          <w:p w14:paraId="13216763">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sz w:val="21"/>
                <w:szCs w:val="21"/>
                <w:highlight w:val="none"/>
                <w:lang w:eastAsia="zh-CN"/>
              </w:rPr>
              <w:t>因采购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lang w:eastAsia="zh-CN"/>
              </w:rPr>
              <w:t>使用的是财政资金，采购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lang w:eastAsia="zh-CN"/>
              </w:rPr>
              <w:t>在前款规定的付款时间</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lang w:eastAsia="zh-CN"/>
              </w:rPr>
              <w:t>向政府采购支付部门提出办理财政支付申请手续即视为采购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lang w:eastAsia="zh-CN"/>
              </w:rPr>
              <w:t>已经按期支付。</w:t>
            </w:r>
          </w:p>
          <w:p w14:paraId="6A5D072C">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3.收款方、出具发票方、合同乙方均必须与中标（成交）供应商名称一致。</w:t>
            </w:r>
          </w:p>
          <w:p w14:paraId="710230A6">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4.中标人应确保所提供的发票真实、合法、有效，如因发票问题导致采购人遭受税务处罚或其他损失，中标人应承担全部赔偿责任。</w:t>
            </w:r>
          </w:p>
        </w:tc>
      </w:tr>
      <w:tr w14:paraId="41E7B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064" w:type="dxa"/>
            <w:gridSpan w:val="2"/>
            <w:noWrap w:val="0"/>
            <w:vAlign w:val="center"/>
          </w:tcPr>
          <w:p w14:paraId="26B6C065">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如项目发生合同融资，采购人应当将合同款项支付到合同约定收款账户。</w:t>
            </w:r>
          </w:p>
        </w:tc>
      </w:tr>
      <w:tr w14:paraId="51A1A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112" w:type="dxa"/>
            <w:noWrap w:val="0"/>
            <w:vAlign w:val="center"/>
          </w:tcPr>
          <w:p w14:paraId="28B3D5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验收要求</w:t>
            </w:r>
          </w:p>
        </w:tc>
        <w:tc>
          <w:tcPr>
            <w:tcW w:w="6952" w:type="dxa"/>
            <w:noWrap w:val="0"/>
            <w:vAlign w:val="center"/>
          </w:tcPr>
          <w:p w14:paraId="5DD1D0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1期：</w:t>
            </w:r>
          </w:p>
          <w:p w14:paraId="030140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1.交付验收：在设备安装调试至正常运行的最佳状态且双方均认为满意后20个工作日内，</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的名义作为终端客户，负责办理所有产品设备(包括保修卡)的一切保修注册备案手续，然后由双方或法定专业质检部门共同验收并出具验收确认书</w:t>
            </w:r>
            <w:r>
              <w:rPr>
                <w:rFonts w:hint="eastAsia" w:ascii="宋体" w:hAnsi="宋体" w:eastAsia="宋体" w:cs="宋体"/>
                <w:color w:val="auto"/>
                <w:sz w:val="21"/>
                <w:szCs w:val="21"/>
                <w:highlight w:val="none"/>
                <w:lang w:eastAsia="zh-CN"/>
              </w:rPr>
              <w:t>，完成设备首次计量工作</w:t>
            </w:r>
            <w:r>
              <w:rPr>
                <w:rFonts w:hint="eastAsia" w:ascii="宋体" w:hAnsi="宋体" w:eastAsia="宋体" w:cs="宋体"/>
                <w:color w:val="auto"/>
                <w:sz w:val="21"/>
                <w:szCs w:val="21"/>
                <w:highlight w:val="none"/>
              </w:rPr>
              <w:t>，验收交付前的保管安全责任由</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负责。</w:t>
            </w:r>
          </w:p>
          <w:p w14:paraId="3BD16D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验收依次序对照执行标准为：①符合中华人民共和国国家和履约地相关安全质量标准、行业技术规范标准、环保节能标准；②符合采购文件和响应承诺中各方共同认可的合理最佳配置、参数规格及各项要求；③符合产品来源国官方颁布的最新标准；④双方约定的其他验收标准。</w:t>
            </w:r>
            <w:r>
              <w:rPr>
                <w:rFonts w:hint="eastAsia"/>
                <w:color w:val="auto"/>
                <w:highlight w:val="none"/>
              </w:rPr>
              <w:t>如中标人提供的设备不符合上述任何一项标准，采购人有权要求中标人无条件更换或退货，并承担因此给采购人造成的一切损失。</w:t>
            </w:r>
          </w:p>
          <w:p w14:paraId="4A57E2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因中标人原因导致设备损坏或短缺，中标人应在接到采购人通知的具体天数内完成换货，并承担换货的一切费用。如中标人未能在规定时间内完成换货，采购人有权解除合同，并要求中标人赔偿因此给采购人造成的全部损失。</w:t>
            </w:r>
          </w:p>
          <w:p w14:paraId="35CC64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4.产品均为近</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个月内原厂制造的全新合格产品，且有合法透明的来源渠道，整机无污染、无侵权行为、表面无划损、无任何缺陷隐患，可依常规合法安全使用。</w:t>
            </w:r>
          </w:p>
          <w:p w14:paraId="156073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5.包装标准为原厂制造商未启封全新包装，序列号、包装箱号与出厂批号一致，并可追索查阅。</w:t>
            </w:r>
          </w:p>
          <w:p w14:paraId="0F2007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组成验收小组按国家有关规定、规范进行验收，必要时邀请相关的专业人员或机构参与验收。</w:t>
            </w:r>
          </w:p>
        </w:tc>
      </w:tr>
      <w:tr w14:paraId="0232F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12" w:type="dxa"/>
            <w:noWrap w:val="0"/>
            <w:vAlign w:val="center"/>
          </w:tcPr>
          <w:p w14:paraId="351740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6952" w:type="dxa"/>
            <w:noWrap w:val="0"/>
            <w:vAlign w:val="center"/>
          </w:tcPr>
          <w:p w14:paraId="17A13BA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收取比例：</w:t>
            </w:r>
            <w:r>
              <w:rPr>
                <w:rFonts w:hint="eastAsia" w:ascii="宋体" w:hAnsi="宋体" w:eastAsia="宋体" w:cs="宋体"/>
                <w:b/>
                <w:bCs/>
                <w:color w:val="auto"/>
                <w:sz w:val="21"/>
                <w:szCs w:val="21"/>
                <w:highlight w:val="none"/>
                <w:u w:val="single"/>
                <w:lang w:val="en-US" w:eastAsia="zh-CN"/>
              </w:rPr>
              <w:t xml:space="preserve">5 </w:t>
            </w: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sz w:val="21"/>
                <w:szCs w:val="21"/>
                <w:highlight w:val="none"/>
              </w:rPr>
              <w:t>，说明：</w:t>
            </w:r>
          </w:p>
          <w:p w14:paraId="0839299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1.中标人须在合同签订后5个工作日内向采购人提交缴纳履约保证金缴纳证明。</w:t>
            </w:r>
          </w:p>
          <w:p w14:paraId="2CD9E3A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2.履约保证金可以采用银行转账、支票、汇票、本票、国有银行或股份制商业银行出具为保函（如提供银行保函，应提供见索即付保函）等形式提交</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如采用</w:t>
            </w:r>
            <w:r>
              <w:rPr>
                <w:rFonts w:hint="eastAsia" w:ascii="宋体" w:hAnsi="宋体" w:eastAsia="宋体" w:cs="宋体"/>
                <w:color w:val="auto"/>
                <w:highlight w:val="none"/>
                <w:lang w:eastAsia="zh-CN"/>
              </w:rPr>
              <w:t>银行转账、支票、汇票、本票</w:t>
            </w:r>
            <w:r>
              <w:rPr>
                <w:rFonts w:hint="eastAsia" w:ascii="宋体" w:hAnsi="宋体" w:eastAsia="宋体" w:cs="宋体"/>
                <w:color w:val="auto"/>
                <w:highlight w:val="none"/>
                <w:lang w:val="en-US" w:eastAsia="zh-CN"/>
              </w:rPr>
              <w:t>形式提交的，其</w:t>
            </w:r>
            <w:r>
              <w:rPr>
                <w:rFonts w:hint="eastAsia" w:ascii="宋体" w:hAnsi="宋体" w:eastAsia="宋体" w:cs="宋体"/>
                <w:color w:val="auto"/>
                <w:highlight w:val="none"/>
                <w:lang w:eastAsia="zh-CN"/>
              </w:rPr>
              <w:t>出具方为中标人</w:t>
            </w:r>
            <w:r>
              <w:rPr>
                <w:rFonts w:hint="eastAsia" w:ascii="宋体" w:hAnsi="宋体" w:eastAsia="宋体" w:cs="宋体"/>
                <w:color w:val="auto"/>
                <w:sz w:val="21"/>
                <w:szCs w:val="21"/>
                <w:highlight w:val="none"/>
                <w:lang w:val="en-US" w:eastAsia="zh-CN"/>
              </w:rPr>
              <w:t>。履约保证金数额为合同总金额的</w:t>
            </w:r>
            <w:r>
              <w:rPr>
                <w:rFonts w:hint="eastAsia" w:ascii="宋体" w:hAnsi="宋体" w:eastAsia="宋体" w:cs="宋体"/>
                <w:color w:val="auto"/>
                <w:sz w:val="21"/>
                <w:szCs w:val="21"/>
                <w:highlight w:val="none"/>
                <w:lang w:val="en-US" w:eastAsia="zh-CN"/>
              </w:rPr>
              <w:t xml:space="preserve"> 5 %</w:t>
            </w:r>
            <w:r>
              <w:rPr>
                <w:rFonts w:hint="eastAsia" w:ascii="宋体" w:hAnsi="宋体" w:eastAsia="宋体" w:cs="宋体"/>
                <w:color w:val="auto"/>
                <w:sz w:val="21"/>
                <w:szCs w:val="21"/>
                <w:highlight w:val="none"/>
                <w:lang w:val="en-US" w:eastAsia="zh-CN"/>
              </w:rPr>
              <w:t>。采用保函形式提交履约保证金的，保函的有效期应当覆盖项目实施全过程，当项目实施过程</w:t>
            </w:r>
            <w:r>
              <w:rPr>
                <w:rFonts w:hint="eastAsia"/>
                <w:color w:val="auto"/>
                <w:highlight w:val="none"/>
                <w:lang w:eastAsia="zh-CN"/>
              </w:rPr>
              <w:t>（</w:t>
            </w:r>
            <w:r>
              <w:rPr>
                <w:rFonts w:hint="eastAsia" w:ascii="宋体" w:hAnsi="宋体" w:eastAsia="宋体" w:cs="宋体"/>
                <w:color w:val="auto"/>
                <w:sz w:val="21"/>
                <w:szCs w:val="21"/>
                <w:highlight w:val="none"/>
                <w:lang w:val="en-US" w:eastAsia="zh-CN"/>
              </w:rPr>
              <w:t>项目验收合格且正常运行一年</w:t>
            </w:r>
            <w:r>
              <w:rPr>
                <w:rFonts w:hint="eastAsia"/>
                <w:color w:val="auto"/>
                <w:highlight w:val="none"/>
                <w:lang w:eastAsia="zh-CN"/>
              </w:rPr>
              <w:t>）</w:t>
            </w:r>
            <w:r>
              <w:rPr>
                <w:rFonts w:hint="eastAsia" w:ascii="宋体" w:hAnsi="宋体" w:eastAsia="宋体" w:cs="宋体"/>
                <w:color w:val="auto"/>
                <w:sz w:val="21"/>
                <w:szCs w:val="21"/>
                <w:highlight w:val="none"/>
                <w:lang w:val="en-US" w:eastAsia="zh-CN"/>
              </w:rPr>
              <w:t>中保函剩余有效期不足 60 日时，中标人应当适当延长保函有效期或重新提交履约保证金。</w:t>
            </w:r>
          </w:p>
          <w:p w14:paraId="502F88C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3.如中标人未能按时缴纳履约保证金的，采购人有权解除合同。造成采购人损失的，采购人有权向中标人主张赔偿（包括但不限于诉讼费、律师服务费等损失）。</w:t>
            </w:r>
          </w:p>
          <w:p w14:paraId="473C527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一旦中标人违约，采购人有权按双方约定根据情节轻重全部或部分扣减保证金作为违约金。因中标人违约行为导致保证金被扣减的，采购人可要求中标人补足保证金。中标人应在采购人提出要求之日起一个月内补足。中标人逾期未补足的，由采购人从支付给中标人的款项中直接扣除相应数额予以补足。</w:t>
            </w:r>
          </w:p>
          <w:p w14:paraId="3CAD4B4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5.履约保证金在项目验收合格且正常运行一年后，中标人按照约定认真履行合同且未发生不退回履约保证金的事项时，</w:t>
            </w:r>
            <w:r>
              <w:rPr>
                <w:rFonts w:hint="eastAsia" w:ascii="宋体" w:hAnsi="宋体" w:eastAsia="宋体" w:cs="宋体"/>
                <w:color w:val="auto"/>
                <w:sz w:val="21"/>
                <w:szCs w:val="21"/>
                <w:highlight w:val="none"/>
                <w:lang w:val="en-US" w:eastAsia="zh-CN"/>
              </w:rPr>
              <w:t>凭付款申请书、履约保证金收据或履约担保函复印件、合同复印件等到</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请款，</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经确认无误后，</w:t>
            </w:r>
            <w:r>
              <w:rPr>
                <w:rFonts w:hint="eastAsia" w:ascii="宋体" w:hAnsi="宋体" w:eastAsia="宋体" w:cs="宋体"/>
                <w:color w:val="auto"/>
                <w:sz w:val="21"/>
                <w:szCs w:val="21"/>
                <w:highlight w:val="none"/>
                <w:lang w:val="en-US" w:eastAsia="zh-CN"/>
              </w:rPr>
              <w:t>按照合同约定原额无息退还，履约保证金以履约担保函形式提交的，担保责任终止。</w:t>
            </w:r>
          </w:p>
          <w:p w14:paraId="4CD6382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履约保证金不予退还情形：①中标人不履行与采购人订立的合同的，履约保证金不予退还，给采购人造成的损失超过履约保证金数额的，还应当对超过部分予以赔偿。②项目验收结果不合格的，履约保证金将不予退还。③其他违反国家相关法律法规的情形。</w:t>
            </w:r>
          </w:p>
          <w:p w14:paraId="68D5B90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7.履约保证金以银行转账形式提交的，中标人在规定时间内转入以下账户：</w:t>
            </w:r>
          </w:p>
          <w:p w14:paraId="54C5BDB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开户名称：广东省人民医院南海医院</w:t>
            </w:r>
          </w:p>
          <w:p w14:paraId="6BD1A82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银行账号：2013022329200146775</w:t>
            </w:r>
          </w:p>
          <w:p w14:paraId="190CC66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开户行：工行广东佛山分行平洲支行</w:t>
            </w:r>
          </w:p>
          <w:p w14:paraId="564CCAA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履约保证金可以以履约保函（保险）形式提供，目前"广东政府采购智慧云平台金融服务中心(https://gdgpo.czt.gd.gov.cn/zcdservice/zcd/guangdong/)已实现电子履约保函（保险）在线办理功能，有意愿供应商可自行办理提供。</w:t>
            </w:r>
          </w:p>
        </w:tc>
      </w:tr>
      <w:tr w14:paraId="0EDCB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12" w:type="dxa"/>
            <w:noWrap w:val="0"/>
            <w:vAlign w:val="center"/>
          </w:tcPr>
          <w:p w14:paraId="542326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6952" w:type="dxa"/>
            <w:noWrap w:val="0"/>
            <w:vAlign w:val="center"/>
          </w:tcPr>
          <w:p w14:paraId="55C5743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p w14:paraId="36897CF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“主要商务要求”所述内容和条款如本招标文件未有特别声明均作为</w:t>
            </w:r>
            <w:r>
              <w:rPr>
                <w:rFonts w:hint="eastAsia" w:ascii="宋体" w:hAnsi="宋体" w:eastAsia="宋体" w:cs="宋体"/>
                <w:b/>
                <w:bCs/>
                <w:color w:val="auto"/>
                <w:sz w:val="21"/>
                <w:szCs w:val="21"/>
                <w:highlight w:val="none"/>
              </w:rPr>
              <w:t>“★”号条款即</w:t>
            </w:r>
            <w:r>
              <w:rPr>
                <w:rFonts w:hint="eastAsia" w:ascii="宋体" w:hAnsi="宋体" w:eastAsia="宋体" w:cs="宋体"/>
                <w:b/>
                <w:bCs/>
                <w:color w:val="auto"/>
                <w:sz w:val="21"/>
                <w:szCs w:val="21"/>
                <w:highlight w:val="none"/>
                <w:lang w:val="en-US" w:eastAsia="zh-CN"/>
              </w:rPr>
              <w:t>投标实质性响应内容，投标人投标时必须响应满足或实质性优于。否则，其投标将被认定为不能满足招标文件要求而作为无效投标处理。</w:t>
            </w:r>
          </w:p>
          <w:p w14:paraId="4FF84FD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★2.如投标人为经营企业： 所投产品为第二类医疗器械，投标时应承诺于供货时提供药品监督管理部门签发的医疗器械经营备案凭证复印件（提供承诺函并加盖投标人公章，不提供视为不响应)。如投标人在投标时已具备该备案凭证的，可在投标时提供复印件加盖投标人公章，视为响应。（如投标人所在地实施“一照通行”相关政策，其第二类医疗器械经营备案事项以二维码形式集中反映在营业执照上的，应提供扫描二维码后反映的有效事项信息截图。）</w:t>
            </w:r>
          </w:p>
          <w:p w14:paraId="58BD971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★3.根据财政部、国家发展改革委、生态环境部、市场监管总局发布的《关于调整优化节能产品、环境标志产品政府采购执行机制的通知》（财库〔2019〕9 号）的规定，采购人拟采购的产品属于最新一期节能产品强制采购品目清单范围的，投标人必须提供政府强制采购的节能产品且必须于投标文件中提供投标产品所在品目清单页及国家确定的认证机构出具的、处于有效期之内的节能产品认证证书复印件加盖投标人公章。（如是，须提供）</w:t>
            </w:r>
          </w:p>
        </w:tc>
      </w:tr>
    </w:tbl>
    <w:p w14:paraId="664E8BC0">
      <w:pPr>
        <w:keepNext/>
        <w:keepLines/>
        <w:adjustRightInd w:val="0"/>
        <w:spacing w:beforeLines="50" w:afterLines="50" w:line="360" w:lineRule="auto"/>
        <w:textAlignment w:val="baseline"/>
        <w:outlineLvl w:val="1"/>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其他商务需求</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9"/>
        <w:gridCol w:w="830"/>
        <w:gridCol w:w="1339"/>
        <w:gridCol w:w="6590"/>
      </w:tblGrid>
      <w:tr w14:paraId="459702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9" w:type="dxa"/>
            <w:noWrap w:val="0"/>
            <w:vAlign w:val="center"/>
          </w:tcPr>
          <w:p w14:paraId="0F27DD11">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参数性质</w:t>
            </w:r>
          </w:p>
        </w:tc>
        <w:tc>
          <w:tcPr>
            <w:tcW w:w="830" w:type="dxa"/>
            <w:noWrap w:val="0"/>
            <w:vAlign w:val="center"/>
          </w:tcPr>
          <w:p w14:paraId="2C935593">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编号</w:t>
            </w:r>
          </w:p>
        </w:tc>
        <w:tc>
          <w:tcPr>
            <w:tcW w:w="1339" w:type="dxa"/>
            <w:noWrap w:val="0"/>
            <w:vAlign w:val="center"/>
          </w:tcPr>
          <w:p w14:paraId="7222C534">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内容明细</w:t>
            </w:r>
          </w:p>
        </w:tc>
        <w:tc>
          <w:tcPr>
            <w:tcW w:w="6590" w:type="dxa"/>
            <w:noWrap w:val="0"/>
            <w:vAlign w:val="center"/>
          </w:tcPr>
          <w:p w14:paraId="2FA1C623">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内容说明</w:t>
            </w:r>
          </w:p>
        </w:tc>
      </w:tr>
      <w:tr w14:paraId="18F882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9" w:type="dxa"/>
            <w:noWrap w:val="0"/>
            <w:vAlign w:val="center"/>
          </w:tcPr>
          <w:p w14:paraId="3F85EB7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p>
        </w:tc>
        <w:tc>
          <w:tcPr>
            <w:tcW w:w="830" w:type="dxa"/>
            <w:noWrap w:val="0"/>
            <w:vAlign w:val="center"/>
          </w:tcPr>
          <w:p w14:paraId="216BD99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39" w:type="dxa"/>
            <w:noWrap w:val="0"/>
            <w:vAlign w:val="center"/>
          </w:tcPr>
          <w:p w14:paraId="00494CD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报价要求</w:t>
            </w:r>
          </w:p>
        </w:tc>
        <w:tc>
          <w:tcPr>
            <w:tcW w:w="6590" w:type="dxa"/>
            <w:noWrap w:val="0"/>
            <w:vAlign w:val="top"/>
          </w:tcPr>
          <w:p w14:paraId="7A6D9AFB">
            <w:pPr>
              <w:pStyle w:val="15"/>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本项目的报价和结算支付均以人民币为货币单位。</w:t>
            </w:r>
          </w:p>
          <w:p w14:paraId="553DF833">
            <w:pPr>
              <w:pStyle w:val="15"/>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本项目投报总价为总包干报价，本项目的</w:t>
            </w:r>
            <w:r>
              <w:rPr>
                <w:rFonts w:hint="eastAsia" w:ascii="宋体" w:hAnsi="宋体" w:eastAsia="宋体" w:cs="宋体"/>
                <w:color w:val="auto"/>
                <w:sz w:val="21"/>
                <w:szCs w:val="21"/>
                <w:highlight w:val="none"/>
                <w:lang w:val="en-US" w:eastAsia="zh-CN"/>
              </w:rPr>
              <w:t>报价应</w:t>
            </w:r>
            <w:r>
              <w:rPr>
                <w:rFonts w:hint="eastAsia" w:ascii="宋体" w:hAnsi="宋体" w:eastAsia="宋体" w:cs="宋体"/>
                <w:color w:val="auto"/>
                <w:sz w:val="21"/>
                <w:szCs w:val="21"/>
                <w:highlight w:val="none"/>
              </w:rPr>
              <w:t>包含但不限于产品供货、备件备品费、相关附件、专用工具费、材料费、运输费、装卸费、安装费、调试费、</w:t>
            </w:r>
            <w:r>
              <w:rPr>
                <w:rFonts w:hint="eastAsia" w:ascii="宋体" w:hAnsi="宋体" w:eastAsia="宋体" w:cs="宋体"/>
                <w:color w:val="auto"/>
                <w:sz w:val="21"/>
                <w:szCs w:val="21"/>
                <w:highlight w:val="none"/>
                <w:lang w:val="en-US" w:eastAsia="zh-CN"/>
              </w:rPr>
              <w:t>接口费、</w:t>
            </w:r>
            <w:r>
              <w:rPr>
                <w:rFonts w:hint="eastAsia" w:ascii="宋体" w:hAnsi="宋体" w:eastAsia="宋体" w:cs="宋体"/>
                <w:color w:val="auto"/>
                <w:sz w:val="21"/>
                <w:szCs w:val="21"/>
                <w:highlight w:val="none"/>
              </w:rPr>
              <w:t>验收费、保险费、售后服务费、税费、人工费、技术培训服务费、验收要求所需的相关试验及检测费用、质量保证期内的包修包换的费用、合同实施过程中应预见及不可预见费等完成本项目内容所需的一切费用。价格为固定不变价，天数为公历日。</w:t>
            </w:r>
          </w:p>
          <w:p w14:paraId="7F230B12">
            <w:pPr>
              <w:pStyle w:val="15"/>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投标人的投标报价应包括单价和总价，总价是对应于采购人本次采购的所有内容所计算的总价，为合同总价；其填报的明细单价则应是投标人对本采购项目所包含的具体的服务进行详细列示的计算单价。投标人应自行增加设备正常、合法、安全运行及使用所必须但招标文件没有包含的所有设备、版权、专利等一切费用。</w:t>
            </w:r>
          </w:p>
          <w:p w14:paraId="3107FF20">
            <w:pPr>
              <w:pStyle w:val="15"/>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val="en-US" w:eastAsia="zh-CN"/>
              </w:rPr>
              <w:t>采购包</w:t>
            </w:r>
            <w:r>
              <w:rPr>
                <w:rFonts w:hint="eastAsia" w:ascii="宋体" w:hAnsi="宋体" w:eastAsia="宋体" w:cs="宋体"/>
                <w:color w:val="auto"/>
                <w:sz w:val="21"/>
                <w:szCs w:val="21"/>
                <w:highlight w:val="none"/>
              </w:rPr>
              <w:t>投标总价不得高于人民币</w:t>
            </w:r>
            <w:r>
              <w:rPr>
                <w:rFonts w:hint="eastAsia" w:ascii="宋体" w:hAnsi="宋体" w:eastAsia="宋体" w:cs="宋体"/>
                <w:color w:val="auto"/>
                <w:sz w:val="21"/>
                <w:szCs w:val="21"/>
                <w:highlight w:val="none"/>
              </w:rPr>
              <w:t>1,172,500.00</w:t>
            </w:r>
            <w:r>
              <w:rPr>
                <w:rFonts w:hint="eastAsia" w:ascii="宋体" w:hAnsi="宋体" w:eastAsia="宋体" w:cs="宋体"/>
                <w:color w:val="auto"/>
                <w:sz w:val="21"/>
                <w:szCs w:val="21"/>
                <w:highlight w:val="none"/>
              </w:rPr>
              <w:t>元，否则其投标报价将视为无效。</w:t>
            </w:r>
          </w:p>
          <w:p w14:paraId="3F64F2AB">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1.5 </w:t>
            </w:r>
            <w:r>
              <w:rPr>
                <w:rFonts w:hint="eastAsia" w:ascii="宋体" w:hAnsi="宋体" w:eastAsia="宋体" w:cs="宋体"/>
                <w:color w:val="auto"/>
                <w:sz w:val="21"/>
                <w:szCs w:val="21"/>
                <w:highlight w:val="none"/>
              </w:rPr>
              <w:t>投标人应被认为在填报投标报价之前，已经仔细阅读了本招标文件的所有有关章节以及审查了所有相关资料，已确保本次招标的所有招标范围内的各种价格风险均已包含在投标报价内。开标后，任何因投标人的疏漏而提出的不利于采购人的另行支付与本项目相关的任何费用的申请将不被接受。</w:t>
            </w:r>
          </w:p>
        </w:tc>
      </w:tr>
      <w:tr w14:paraId="6C50A7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9" w:type="dxa"/>
            <w:noWrap w:val="0"/>
            <w:vAlign w:val="center"/>
          </w:tcPr>
          <w:p w14:paraId="266A9D9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p>
        </w:tc>
        <w:tc>
          <w:tcPr>
            <w:tcW w:w="830" w:type="dxa"/>
            <w:noWrap w:val="0"/>
            <w:vAlign w:val="center"/>
          </w:tcPr>
          <w:p w14:paraId="1DD4AA6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39" w:type="dxa"/>
            <w:noWrap w:val="0"/>
            <w:vAlign w:val="center"/>
          </w:tcPr>
          <w:p w14:paraId="1B02951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合同设备的包装和运输</w:t>
            </w:r>
          </w:p>
        </w:tc>
        <w:tc>
          <w:tcPr>
            <w:tcW w:w="6590" w:type="dxa"/>
            <w:noWrap w:val="0"/>
            <w:vAlign w:val="top"/>
          </w:tcPr>
          <w:p w14:paraId="1CA33A6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设备的包装均应有良好的防湿、防锈、防潮、防雨、防腐及防碰撞的措施。凡由于包装不良造成的损失和由此产生的费用均由中标人承担。</w:t>
            </w:r>
            <w:r>
              <w:rPr>
                <w:rFonts w:hint="eastAsia"/>
                <w:color w:val="auto"/>
                <w:highlight w:val="none"/>
              </w:rPr>
              <w:t>如因中标人包装不符合要求导致设备损坏或灭失，中标人应负责免费更换或修复，并承担因此给采购人造成的一切损失。</w:t>
            </w:r>
          </w:p>
          <w:p w14:paraId="259F0B1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 中标人负责运输及卸车至采购人指定地点。</w:t>
            </w:r>
          </w:p>
        </w:tc>
      </w:tr>
      <w:tr w14:paraId="61DCE8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5" w:hRule="atLeast"/>
        </w:trPr>
        <w:tc>
          <w:tcPr>
            <w:tcW w:w="749" w:type="dxa"/>
            <w:noWrap w:val="0"/>
            <w:vAlign w:val="center"/>
          </w:tcPr>
          <w:p w14:paraId="185CC8A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p>
        </w:tc>
        <w:tc>
          <w:tcPr>
            <w:tcW w:w="830" w:type="dxa"/>
            <w:noWrap w:val="0"/>
            <w:vAlign w:val="center"/>
          </w:tcPr>
          <w:p w14:paraId="5764863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39" w:type="dxa"/>
            <w:noWrap w:val="0"/>
            <w:vAlign w:val="center"/>
          </w:tcPr>
          <w:p w14:paraId="61575DC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安装与调试</w:t>
            </w:r>
          </w:p>
        </w:tc>
        <w:tc>
          <w:tcPr>
            <w:tcW w:w="6590" w:type="dxa"/>
            <w:noWrap w:val="0"/>
            <w:vAlign w:val="center"/>
          </w:tcPr>
          <w:p w14:paraId="54EE098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3.1 中标人负责本项目合同项下的安装调试。</w:t>
            </w:r>
          </w:p>
          <w:p w14:paraId="56C324E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3.2 中标人应在交货前与采购人确认设备的具体安装位置及安装要求，并按照采购人要求进行安装调试。</w:t>
            </w:r>
          </w:p>
          <w:p w14:paraId="359112E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3.3 中标人必须以符合采购文件要求和响应承诺的前提下，将设备（系统）安装并调试至正常运行的最佳状态且双方均认为满意。</w:t>
            </w:r>
          </w:p>
          <w:p w14:paraId="78C6DE7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3.4 中标人安装时须对各安装场地内的其他设备、设施有良好保护措施。</w:t>
            </w:r>
          </w:p>
          <w:p w14:paraId="5324E8B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3.5 设备需具有标准数字接口及提供最新的接口文档，能与采购人相关系统进行数据交互；如相关接口软件需要额外软件密钥或授权才能使用，则设备需附带配备相应的密钥或授权码（如需要指定软件才能对接或者无标准数字化接口需在合同中声明）。</w:t>
            </w:r>
            <w:r>
              <w:rPr>
                <w:rFonts w:hint="eastAsia"/>
                <w:color w:val="auto"/>
                <w:highlight w:val="none"/>
              </w:rPr>
              <w:t>中标人应负责免费提供相应的密钥或授权码，并确保其合法有效。如因密钥或授权码问题导致设备无法正常使用，中标人应承担违约责任，并赔偿采购人因此遭受的全部损失。</w:t>
            </w:r>
          </w:p>
          <w:p w14:paraId="4C64138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3.6 中标人必须向采购人提供本项目合同货物安装所需的材料（如设备调试过程中需要用到的标准品等耗材等）、技术资料以及所需工具。</w:t>
            </w:r>
          </w:p>
          <w:p w14:paraId="3FCB62A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3.7 上述一切费用由中标人负责。</w:t>
            </w:r>
          </w:p>
        </w:tc>
      </w:tr>
      <w:tr w14:paraId="32E9D5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72" w:hRule="atLeast"/>
        </w:trPr>
        <w:tc>
          <w:tcPr>
            <w:tcW w:w="749" w:type="dxa"/>
            <w:noWrap w:val="0"/>
            <w:vAlign w:val="center"/>
          </w:tcPr>
          <w:p w14:paraId="72A300F4">
            <w:pPr>
              <w:spacing w:line="360" w:lineRule="auto"/>
              <w:jc w:val="center"/>
              <w:rPr>
                <w:rFonts w:hint="eastAsia" w:ascii="宋体" w:hAnsi="宋体" w:eastAsia="宋体" w:cs="宋体"/>
                <w:color w:val="auto"/>
                <w:sz w:val="21"/>
                <w:szCs w:val="21"/>
                <w:highlight w:val="none"/>
              </w:rPr>
            </w:pPr>
          </w:p>
        </w:tc>
        <w:tc>
          <w:tcPr>
            <w:tcW w:w="830" w:type="dxa"/>
            <w:noWrap w:val="0"/>
            <w:vAlign w:val="center"/>
          </w:tcPr>
          <w:p w14:paraId="6E08946A">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339" w:type="dxa"/>
            <w:noWrap w:val="0"/>
            <w:vAlign w:val="center"/>
          </w:tcPr>
          <w:p w14:paraId="47556257">
            <w:pPr>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售后服务</w:t>
            </w:r>
            <w:r>
              <w:rPr>
                <w:rFonts w:hint="eastAsia" w:ascii="宋体" w:hAnsi="宋体" w:eastAsia="宋体" w:cs="宋体"/>
                <w:b/>
                <w:bCs/>
                <w:color w:val="auto"/>
                <w:sz w:val="21"/>
                <w:szCs w:val="21"/>
                <w:highlight w:val="none"/>
                <w:lang w:val="en-US" w:eastAsia="zh-CN"/>
              </w:rPr>
              <w:t>要求</w:t>
            </w:r>
          </w:p>
        </w:tc>
        <w:tc>
          <w:tcPr>
            <w:tcW w:w="6590" w:type="dxa"/>
            <w:noWrap w:val="0"/>
            <w:vAlign w:val="center"/>
          </w:tcPr>
          <w:p w14:paraId="3B0341B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.1</w:t>
            </w:r>
            <w:r>
              <w:rPr>
                <w:rFonts w:hint="eastAsia" w:ascii="宋体" w:hAnsi="宋体" w:eastAsia="宋体" w:cs="宋体"/>
                <w:b w:val="0"/>
                <w:bCs w:val="0"/>
                <w:color w:val="auto"/>
                <w:sz w:val="21"/>
                <w:szCs w:val="21"/>
                <w:highlight w:val="none"/>
                <w:lang w:val="en-US" w:eastAsia="zh-CN"/>
              </w:rPr>
              <w:t xml:space="preserve"> 中标人所提供的所有设备提供原厂整机</w:t>
            </w:r>
            <w:r>
              <w:rPr>
                <w:rFonts w:hint="eastAsia" w:ascii="宋体" w:hAnsi="宋体" w:eastAsia="宋体" w:cs="宋体"/>
                <w:b w:val="0"/>
                <w:bCs w:val="0"/>
                <w:color w:val="auto"/>
                <w:sz w:val="21"/>
                <w:szCs w:val="21"/>
                <w:highlight w:val="none"/>
                <w:lang w:eastAsia="zh-CN"/>
              </w:rPr>
              <w:t>质量保证期（简称“质保期”）</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u w:val="single"/>
                <w:lang w:val="en-US" w:eastAsia="zh-CN"/>
              </w:rPr>
              <w:t xml:space="preserve"> 3 </w:t>
            </w:r>
            <w:r>
              <w:rPr>
                <w:rFonts w:hint="eastAsia" w:ascii="宋体" w:hAnsi="宋体" w:eastAsia="宋体" w:cs="宋体"/>
                <w:b w:val="0"/>
                <w:bCs w:val="0"/>
                <w:color w:val="auto"/>
                <w:sz w:val="21"/>
                <w:szCs w:val="21"/>
                <w:highlight w:val="none"/>
                <w:lang w:val="en-US" w:eastAsia="zh-CN"/>
              </w:rPr>
              <w:t>年</w:t>
            </w:r>
            <w:r>
              <w:rPr>
                <w:rFonts w:hint="eastAsia" w:ascii="宋体" w:hAnsi="宋体" w:eastAsia="宋体" w:cs="宋体"/>
                <w:b w:val="0"/>
                <w:bCs w:val="0"/>
                <w:color w:val="auto"/>
                <w:sz w:val="21"/>
                <w:szCs w:val="21"/>
                <w:highlight w:val="none"/>
                <w:lang w:val="en-US" w:eastAsia="zh-CN"/>
              </w:rPr>
              <w:t>，质保期自采购人与中标人双方代表在设备验收单上签字之日起计算。</w:t>
            </w:r>
            <w:r>
              <w:rPr>
                <w:rFonts w:hint="eastAsia"/>
                <w:color w:val="auto"/>
                <w:highlight w:val="none"/>
              </w:rPr>
              <w:t>质保期内，中标人应提供免费的维修、更换服务，确保设备正常运行。如中标人未能及时履行质保义务，采购人有权自行维修或委托第三方维修，相关费用由中标人承担。</w:t>
            </w:r>
            <w:r>
              <w:rPr>
                <w:rFonts w:hint="eastAsia" w:ascii="宋体" w:hAnsi="宋体" w:eastAsia="宋体" w:cs="宋体"/>
                <w:color w:val="auto"/>
                <w:highlight w:val="none"/>
              </w:rPr>
              <w:t>若逾期 15 日以上仍未进行维修或更换，或者维修后仍存在质量问题，设备无法正常运行，</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有权终止合同，由此造成</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的经济损失由</w:t>
            </w:r>
            <w:r>
              <w:rPr>
                <w:rFonts w:hint="eastAsia" w:ascii="宋体" w:hAnsi="宋体" w:eastAsia="宋体" w:cs="宋体"/>
                <w:color w:val="auto"/>
                <w:highlight w:val="none"/>
                <w:lang w:val="en-US" w:eastAsia="zh-CN"/>
              </w:rPr>
              <w:t>中标人</w:t>
            </w:r>
            <w:r>
              <w:rPr>
                <w:rFonts w:hint="eastAsia" w:ascii="宋体" w:hAnsi="宋体" w:eastAsia="宋体" w:cs="宋体"/>
                <w:color w:val="auto"/>
                <w:highlight w:val="none"/>
              </w:rPr>
              <w:t>承担，违约金不足以弥补损失的，</w:t>
            </w:r>
            <w:r>
              <w:rPr>
                <w:rFonts w:hint="eastAsia" w:ascii="宋体" w:hAnsi="宋体" w:eastAsia="宋体" w:cs="宋体"/>
                <w:color w:val="auto"/>
                <w:highlight w:val="none"/>
                <w:lang w:val="en-US" w:eastAsia="zh-CN"/>
              </w:rPr>
              <w:t>中标人</w:t>
            </w:r>
            <w:r>
              <w:rPr>
                <w:rFonts w:hint="eastAsia" w:ascii="宋体" w:hAnsi="宋体" w:eastAsia="宋体" w:cs="宋体"/>
                <w:color w:val="auto"/>
                <w:highlight w:val="none"/>
              </w:rPr>
              <w:t>应按全额赔偿。</w:t>
            </w:r>
          </w:p>
          <w:p w14:paraId="637F267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lang w:val="en-US" w:eastAsia="zh-CN"/>
              </w:rPr>
              <w:t>4.2 质保期内中标人对所供货物实行包修、包换、包退、包维护保养，质保期内采购人对中标人享有追索权。</w:t>
            </w:r>
          </w:p>
          <w:p w14:paraId="4F3B4B4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lang w:val="en-US" w:eastAsia="zh-CN"/>
              </w:rPr>
              <w:t>4.3 质保期内，如设备或零部件非人为因素出现故障而造成短期停用时，则质保期和免费维修期相应顺延。如货物因自身故障致停用时间累计超过5天时，则质保期在状态恢复正常时归零重新计算或对故障设备予以重新更换。</w:t>
            </w:r>
            <w:r>
              <w:rPr>
                <w:rFonts w:hint="eastAsia" w:ascii="宋体" w:hAnsi="宋体" w:eastAsia="宋体" w:cs="宋体"/>
                <w:color w:val="auto"/>
                <w:highlight w:val="none"/>
              </w:rPr>
              <w:t>如设备因自身故障导致停用时间累计超过14天，中标人应向采购人支付合同总金额的3%作为违约金，并负责对设备进行免费更换或修复，确保设备正常运行。</w:t>
            </w:r>
          </w:p>
          <w:p w14:paraId="1B5749A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lang w:val="en-US" w:eastAsia="zh-CN"/>
              </w:rPr>
              <w:t>4.4 质保期内提供周期上门免费服务：中标人须在设备验收后，每三个月例行上门检测设备运行状态并提交检测报告。</w:t>
            </w:r>
          </w:p>
          <w:p w14:paraId="776FAC6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lang w:val="en-US" w:eastAsia="zh-CN"/>
              </w:rPr>
              <w:t>4.5 中标人负责向采购人提供现场安全操作及必要的维护保养培训。</w:t>
            </w:r>
          </w:p>
          <w:p w14:paraId="0DF4541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lang w:val="en-US" w:eastAsia="zh-CN"/>
              </w:rPr>
              <w:t>4.6 中标人或原厂售后服务商（以下统称“售后服务机构”）提供长期稳定可靠的售后服务。有固定售后服务点，并提供常设服务专线和长期的技术支持，需提供固定售后服务点的详细资料。负责本项目合同设备软件终身维护和升级，由此产生的费用均由中标人负担。设备故障报修响应时间为：省内有售后服务人员，提供24小时的热线支持，在设备发生故障时，技术人员应 4 小时内到达现场解决故障。</w:t>
            </w:r>
          </w:p>
          <w:p w14:paraId="3C106FF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lang w:val="en-US" w:eastAsia="zh-CN"/>
              </w:rPr>
              <w:t>4.7 若主要设备的故障在24小时内仍未处理完毕，中标人必须免费提供相同或以上档次的设备予采购人临时使用或采取应急措施解决，不得影响采购人的正常工作业务。</w:t>
            </w:r>
          </w:p>
          <w:p w14:paraId="79C9126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lang w:val="en-US" w:eastAsia="zh-CN"/>
              </w:rPr>
              <w:t>4.8 质保期内，所有设备维修均为上门服务，即由中标人派人员到采购人设备使用现场维修，由此产生的费用均由中标人负担。</w:t>
            </w:r>
          </w:p>
          <w:p w14:paraId="063B8E2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lang w:val="en-US" w:eastAsia="zh-CN"/>
              </w:rPr>
              <w:t>4.9 所提供系统和设备，在今后利用新技术方面有任何性能或功能的改进以及产品革新，中标人需及时书面通知采购人其改进和详细情况。中标人需要提供自己的售后技术中心或售后服务合作伙伴的详细资料。</w:t>
            </w:r>
          </w:p>
          <w:p w14:paraId="4045C76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lang w:val="en-US" w:eastAsia="zh-CN"/>
              </w:rPr>
              <w:t>4.10 质保期满后，中标人应保证以最优惠的价格提供备件和保养服务。</w:t>
            </w:r>
          </w:p>
          <w:p w14:paraId="0D7DE73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4.11 质保期满后中标人继续提供维修服务，当发生故障时，中标人应按不低于质保期内的要求进行维修处理，维修中只收零件费。</w:t>
            </w:r>
          </w:p>
          <w:p w14:paraId="14F0796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lang w:val="en-US" w:eastAsia="zh-CN"/>
              </w:rPr>
              <w:t>4.12 技术培训：为保证设备正常工作，中标人应负责培训采购人维护人员，使维护工作人员能完全熟悉并掌握软硬件维护技能，及时排除一般的设备故障。培训内容包括以下几个方面：</w:t>
            </w:r>
          </w:p>
          <w:p w14:paraId="1F61E6E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（1）为维护及安装工作所必须的相关文件的讲解 。</w:t>
            </w:r>
          </w:p>
          <w:p w14:paraId="0ED31DC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（2）设备的安装和测试 。</w:t>
            </w:r>
          </w:p>
          <w:p w14:paraId="571CE9F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（3）设备的操作和维护 。</w:t>
            </w:r>
          </w:p>
          <w:p w14:paraId="21BEC07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（4）硬件电路结构和原理 。</w:t>
            </w:r>
          </w:p>
          <w:p w14:paraId="2FE7D43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（5）设备结构 。</w:t>
            </w:r>
          </w:p>
          <w:p w14:paraId="4EFDCB6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（6）采购人需改进所供系统的执行情况和可靠性时，中标人应提供服务，所需费用已含在本项目合同价中。</w:t>
            </w:r>
          </w:p>
        </w:tc>
      </w:tr>
      <w:tr w14:paraId="1E67A6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09" w:hRule="atLeast"/>
        </w:trPr>
        <w:tc>
          <w:tcPr>
            <w:tcW w:w="749" w:type="dxa"/>
            <w:noWrap w:val="0"/>
            <w:vAlign w:val="center"/>
          </w:tcPr>
          <w:p w14:paraId="04D3E73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p>
        </w:tc>
        <w:tc>
          <w:tcPr>
            <w:tcW w:w="830" w:type="dxa"/>
            <w:noWrap w:val="0"/>
            <w:vAlign w:val="center"/>
          </w:tcPr>
          <w:p w14:paraId="1493883F">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339" w:type="dxa"/>
            <w:noWrap w:val="0"/>
            <w:vAlign w:val="center"/>
          </w:tcPr>
          <w:p w14:paraId="5084F389">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知识产权和保密要求</w:t>
            </w:r>
          </w:p>
        </w:tc>
        <w:tc>
          <w:tcPr>
            <w:tcW w:w="6590" w:type="dxa"/>
            <w:noWrap w:val="0"/>
            <w:vAlign w:val="center"/>
          </w:tcPr>
          <w:p w14:paraId="55A06BF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b w:val="0"/>
                <w:bCs w:val="0"/>
                <w:color w:val="auto"/>
                <w:sz w:val="21"/>
                <w:szCs w:val="21"/>
                <w:highlight w:val="none"/>
                <w:lang w:val="en-US" w:eastAsia="zh-CN"/>
              </w:rPr>
              <w:t>5.1 依据相关法律法规规定，</w:t>
            </w:r>
            <w:r>
              <w:rPr>
                <w:rFonts w:hint="eastAsia" w:ascii="宋体" w:hAnsi="宋体" w:eastAsia="宋体" w:cs="宋体"/>
                <w:color w:val="auto"/>
                <w:highlight w:val="none"/>
              </w:rPr>
              <w:t>中标人应保证所提供的设备、技术、软件等不侵犯任何第三方的知识产权或其他合法权益。如因中标人提供的设备、技术、软件等引发知识产权纠纷或其他法律纠纷，中标人应负责解决，并承担因此给采购人造成的一切损失，包括但不限于采购人由此产生的诉讼费、保全费、担保费、鉴定费、律师费等一切维权成本。</w:t>
            </w:r>
          </w:p>
          <w:p w14:paraId="1FE7651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highlight w:val="none"/>
                <w:lang w:val="en-US" w:eastAsia="zh-CN"/>
              </w:rPr>
              <w:t>5.2</w:t>
            </w:r>
            <w:r>
              <w:rPr>
                <w:rFonts w:hint="eastAsia" w:ascii="宋体" w:hAnsi="宋体" w:eastAsia="宋体" w:cs="宋体"/>
                <w:b w:val="0"/>
                <w:bCs w:val="0"/>
                <w:color w:val="auto"/>
                <w:sz w:val="21"/>
                <w:szCs w:val="21"/>
                <w:highlight w:val="none"/>
                <w:lang w:val="en-US" w:eastAsia="zh-CN"/>
              </w:rPr>
              <w:t>采购人与中标人应相互尊重双方及第三方的知识产权、数据信息所有权等权利，双方均对本项目所涉及的知识产权、数据信息有保密义务，不得向任何第三方泄漏各自从合作方获得的数据、信息等资料。双方均享有因数据、信息泄露给对方造成损失时，获得赔偿的权利。5.3中标人及其工作人员不得将从患者信息数据库中得到的信息用于采购人之外的第三方，给采购人或患者（及其家属）造成任何损失或伤害，中标人应承担相应的民事责任，同时采购人有权进一步追究中标人责任的权利。</w:t>
            </w:r>
          </w:p>
        </w:tc>
      </w:tr>
      <w:tr w14:paraId="2343D5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8" w:hRule="atLeast"/>
        </w:trPr>
        <w:tc>
          <w:tcPr>
            <w:tcW w:w="749" w:type="dxa"/>
            <w:noWrap w:val="0"/>
            <w:vAlign w:val="center"/>
          </w:tcPr>
          <w:p w14:paraId="41BD4E4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p>
        </w:tc>
        <w:tc>
          <w:tcPr>
            <w:tcW w:w="830" w:type="dxa"/>
            <w:noWrap w:val="0"/>
            <w:vAlign w:val="center"/>
          </w:tcPr>
          <w:p w14:paraId="7C38FC5C">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339" w:type="dxa"/>
            <w:noWrap w:val="0"/>
            <w:vAlign w:val="center"/>
          </w:tcPr>
          <w:p w14:paraId="5574CA7D">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违约责任</w:t>
            </w:r>
          </w:p>
        </w:tc>
        <w:tc>
          <w:tcPr>
            <w:tcW w:w="6590" w:type="dxa"/>
            <w:noWrap w:val="0"/>
            <w:vAlign w:val="center"/>
          </w:tcPr>
          <w:p w14:paraId="578FC0E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6.1 中标人未按要求履行合同义务，须从违约之日起每日按合同总额的 3‰ 比例向采购人支付违约金；逾期 15 日以上，采购人有权终止合同，由此造成采购人的经济损失由中标人承担。违约金不足以弥补损失的，中标人应按全额赔偿。</w:t>
            </w:r>
          </w:p>
          <w:p w14:paraId="2356708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6.2 如因中标人原因导致逾期交货，每逾期一天，中标人应向采购人支付合同总金额的2‱ 作为违约金，逾期超过15日，采购人有权解除合同，并要求中标人赔偿因此给采购人造成的全部损失，包括但不限于诉讼费、保全费、担保费、鉴定费、律师费等维权成本由中标人负担。</w:t>
            </w:r>
          </w:p>
          <w:p w14:paraId="50BE1A4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6.3 采购人未按要求履行合同义务，或无故拖延验收、付款，采购人须向中标人支付滞纳金，标准为每日按逾期应付款总额的 1‱  计算，但累计总额不超过逾期应付款的1%。</w:t>
            </w:r>
          </w:p>
          <w:p w14:paraId="1364C94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6.4 </w:t>
            </w:r>
            <w:r>
              <w:rPr>
                <w:rFonts w:hint="eastAsia" w:ascii="宋体" w:hAnsi="宋体" w:eastAsia="宋体" w:cs="宋体"/>
                <w:b w:val="0"/>
                <w:bCs w:val="0"/>
                <w:color w:val="auto"/>
                <w:sz w:val="21"/>
                <w:szCs w:val="21"/>
                <w:highlight w:val="none"/>
                <w:lang w:eastAsia="zh-CN"/>
              </w:rPr>
              <w:t>其他违约责任按《中华人民共和国民法典》处理。</w:t>
            </w:r>
          </w:p>
        </w:tc>
      </w:tr>
      <w:tr w14:paraId="1469CD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28" w:hRule="atLeast"/>
        </w:trPr>
        <w:tc>
          <w:tcPr>
            <w:tcW w:w="749" w:type="dxa"/>
            <w:noWrap w:val="0"/>
            <w:vAlign w:val="center"/>
          </w:tcPr>
          <w:p w14:paraId="713916E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p>
        </w:tc>
        <w:tc>
          <w:tcPr>
            <w:tcW w:w="830" w:type="dxa"/>
            <w:noWrap w:val="0"/>
            <w:vAlign w:val="center"/>
          </w:tcPr>
          <w:p w14:paraId="038AE8BB">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339" w:type="dxa"/>
            <w:noWrap w:val="0"/>
            <w:vAlign w:val="center"/>
          </w:tcPr>
          <w:p w14:paraId="41E1D02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提出异议的时间和方法</w:t>
            </w:r>
          </w:p>
        </w:tc>
        <w:tc>
          <w:tcPr>
            <w:tcW w:w="6590" w:type="dxa"/>
            <w:noWrap w:val="0"/>
            <w:vAlign w:val="center"/>
          </w:tcPr>
          <w:p w14:paraId="045090C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7.1 </w:t>
            </w:r>
            <w:r>
              <w:rPr>
                <w:rFonts w:hint="eastAsia" w:ascii="宋体" w:hAnsi="宋体" w:eastAsia="宋体" w:cs="宋体"/>
                <w:b w:val="0"/>
                <w:bCs w:val="0"/>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在验收后 30 天内如对货物的型号、规格、质量有异议时，应在妥善保管货物的同时，即向</w:t>
            </w:r>
            <w:r>
              <w:rPr>
                <w:rFonts w:hint="eastAsia" w:ascii="宋体" w:hAnsi="宋体" w:eastAsia="宋体" w:cs="宋体"/>
                <w:b w:val="0"/>
                <w:bCs w:val="0"/>
                <w:color w:val="auto"/>
                <w:sz w:val="21"/>
                <w:szCs w:val="21"/>
                <w:highlight w:val="none"/>
                <w:lang w:val="en-US" w:eastAsia="zh-CN"/>
              </w:rPr>
              <w:t>中标人</w:t>
            </w:r>
            <w:r>
              <w:rPr>
                <w:rFonts w:hint="eastAsia" w:ascii="宋体" w:hAnsi="宋体" w:eastAsia="宋体" w:cs="宋体"/>
                <w:color w:val="auto"/>
                <w:sz w:val="21"/>
                <w:szCs w:val="21"/>
                <w:highlight w:val="none"/>
                <w:lang w:val="en-US" w:eastAsia="zh-CN"/>
              </w:rPr>
              <w:t>提出书面异议。</w:t>
            </w:r>
          </w:p>
          <w:p w14:paraId="59F5B47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7.2 </w:t>
            </w:r>
            <w:r>
              <w:rPr>
                <w:rFonts w:hint="eastAsia" w:ascii="宋体" w:hAnsi="宋体" w:eastAsia="宋体" w:cs="宋体"/>
                <w:b w:val="0"/>
                <w:bCs w:val="0"/>
                <w:color w:val="auto"/>
                <w:sz w:val="21"/>
                <w:szCs w:val="21"/>
                <w:highlight w:val="none"/>
                <w:lang w:val="en-US" w:eastAsia="zh-CN"/>
              </w:rPr>
              <w:t>中标人</w:t>
            </w:r>
            <w:r>
              <w:rPr>
                <w:rFonts w:hint="eastAsia" w:ascii="宋体" w:hAnsi="宋体" w:eastAsia="宋体" w:cs="宋体"/>
                <w:color w:val="auto"/>
                <w:sz w:val="21"/>
                <w:szCs w:val="21"/>
                <w:highlight w:val="none"/>
                <w:lang w:val="en-US" w:eastAsia="zh-CN"/>
              </w:rPr>
              <w:t>在接到</w:t>
            </w:r>
            <w:r>
              <w:rPr>
                <w:rFonts w:hint="eastAsia" w:ascii="宋体" w:hAnsi="宋体" w:eastAsia="宋体" w:cs="宋体"/>
                <w:b w:val="0"/>
                <w:bCs w:val="0"/>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书面异议后，应在3天内负责处理并函复</w:t>
            </w:r>
            <w:r>
              <w:rPr>
                <w:rFonts w:hint="eastAsia" w:ascii="宋体" w:hAnsi="宋体" w:eastAsia="宋体" w:cs="宋体"/>
                <w:b w:val="0"/>
                <w:bCs w:val="0"/>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处理情况，否则，即视为默认</w:t>
            </w:r>
            <w:r>
              <w:rPr>
                <w:rFonts w:hint="eastAsia" w:ascii="宋体" w:hAnsi="宋体" w:eastAsia="宋体" w:cs="宋体"/>
                <w:b w:val="0"/>
                <w:bCs w:val="0"/>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提出的异议和处理意见。</w:t>
            </w:r>
          </w:p>
          <w:p w14:paraId="7FD8A9F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7.3 </w:t>
            </w:r>
            <w:r>
              <w:rPr>
                <w:rFonts w:hint="eastAsia" w:ascii="宋体" w:hAnsi="宋体" w:eastAsia="宋体" w:cs="宋体"/>
                <w:b w:val="0"/>
                <w:bCs w:val="0"/>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因违章操作、保管、保养不善等人为造成货物损毁，所提出的异议</w:t>
            </w:r>
            <w:r>
              <w:rPr>
                <w:rFonts w:hint="eastAsia" w:ascii="宋体" w:hAnsi="宋体" w:eastAsia="宋体" w:cs="宋体"/>
                <w:b w:val="0"/>
                <w:bCs w:val="0"/>
                <w:color w:val="auto"/>
                <w:sz w:val="21"/>
                <w:szCs w:val="21"/>
                <w:highlight w:val="none"/>
                <w:lang w:val="en-US" w:eastAsia="zh-CN"/>
              </w:rPr>
              <w:t>中标人</w:t>
            </w:r>
            <w:r>
              <w:rPr>
                <w:rFonts w:hint="eastAsia" w:ascii="宋体" w:hAnsi="宋体" w:eastAsia="宋体" w:cs="宋体"/>
                <w:color w:val="auto"/>
                <w:sz w:val="21"/>
                <w:szCs w:val="21"/>
                <w:highlight w:val="none"/>
                <w:lang w:val="en-US" w:eastAsia="zh-CN"/>
              </w:rPr>
              <w:t>有权不予接受。</w:t>
            </w:r>
          </w:p>
          <w:p w14:paraId="199FAA4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7.4 </w:t>
            </w:r>
            <w:r>
              <w:rPr>
                <w:rFonts w:hint="eastAsia" w:ascii="宋体" w:hAnsi="宋体" w:eastAsia="宋体" w:cs="宋体"/>
                <w:b w:val="0"/>
                <w:bCs w:val="0"/>
                <w:color w:val="auto"/>
                <w:sz w:val="21"/>
                <w:szCs w:val="21"/>
                <w:highlight w:val="none"/>
                <w:lang w:val="en-US" w:eastAsia="zh-CN"/>
              </w:rPr>
              <w:t>中标人</w:t>
            </w:r>
            <w:r>
              <w:rPr>
                <w:rFonts w:hint="eastAsia" w:ascii="宋体" w:hAnsi="宋体" w:eastAsia="宋体" w:cs="宋体"/>
                <w:color w:val="auto"/>
                <w:sz w:val="21"/>
                <w:szCs w:val="21"/>
                <w:highlight w:val="none"/>
                <w:lang w:val="en-US" w:eastAsia="zh-CN"/>
              </w:rPr>
              <w:t>利用专业技术和行业信息优势之便，以不道德的手段，故意隐瞒和掩盖自身缔约过失，违背投标（响应）承诺和未尽义务，损害了</w:t>
            </w:r>
            <w:r>
              <w:rPr>
                <w:rFonts w:hint="eastAsia" w:ascii="宋体" w:hAnsi="宋体" w:eastAsia="宋体" w:cs="宋体"/>
                <w:b w:val="0"/>
                <w:bCs w:val="0"/>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的合法权益，</w:t>
            </w:r>
            <w:r>
              <w:rPr>
                <w:rFonts w:hint="eastAsia" w:ascii="宋体" w:hAnsi="宋体" w:eastAsia="宋体" w:cs="宋体"/>
                <w:b w:val="0"/>
                <w:bCs w:val="0"/>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在任何时候均可追究</w:t>
            </w:r>
            <w:r>
              <w:rPr>
                <w:rFonts w:hint="eastAsia" w:ascii="宋体" w:hAnsi="宋体" w:eastAsia="宋体" w:cs="宋体"/>
                <w:b w:val="0"/>
                <w:bCs w:val="0"/>
                <w:color w:val="auto"/>
                <w:sz w:val="21"/>
                <w:szCs w:val="21"/>
                <w:highlight w:val="none"/>
                <w:lang w:val="en-US" w:eastAsia="zh-CN"/>
              </w:rPr>
              <w:t>中标人</w:t>
            </w:r>
            <w:r>
              <w:rPr>
                <w:rFonts w:hint="eastAsia" w:ascii="宋体" w:hAnsi="宋体" w:eastAsia="宋体" w:cs="宋体"/>
                <w:color w:val="auto"/>
                <w:sz w:val="21"/>
                <w:szCs w:val="21"/>
                <w:highlight w:val="none"/>
                <w:lang w:val="en-US" w:eastAsia="zh-CN"/>
              </w:rPr>
              <w:t>的违约责任并索取赔偿，且不受验收程序、质保期和合同时效的限制。</w:t>
            </w:r>
          </w:p>
        </w:tc>
      </w:tr>
      <w:tr w14:paraId="157391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29" w:hRule="atLeast"/>
        </w:trPr>
        <w:tc>
          <w:tcPr>
            <w:tcW w:w="749" w:type="dxa"/>
            <w:noWrap w:val="0"/>
            <w:vAlign w:val="center"/>
          </w:tcPr>
          <w:p w14:paraId="49E6398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p>
        </w:tc>
        <w:tc>
          <w:tcPr>
            <w:tcW w:w="830" w:type="dxa"/>
            <w:noWrap w:val="0"/>
            <w:vAlign w:val="center"/>
          </w:tcPr>
          <w:p w14:paraId="7D61E16C">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339" w:type="dxa"/>
            <w:noWrap w:val="0"/>
            <w:vAlign w:val="center"/>
          </w:tcPr>
          <w:p w14:paraId="62150FE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中标人应提供的资料内容</w:t>
            </w:r>
          </w:p>
        </w:tc>
        <w:tc>
          <w:tcPr>
            <w:tcW w:w="6590" w:type="dxa"/>
            <w:noWrap w:val="0"/>
            <w:vAlign w:val="center"/>
          </w:tcPr>
          <w:p w14:paraId="7826085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8.1 </w:t>
            </w:r>
            <w:r>
              <w:rPr>
                <w:rFonts w:hint="eastAsia" w:ascii="宋体" w:hAnsi="宋体" w:eastAsia="宋体" w:cs="宋体"/>
                <w:color w:val="auto"/>
                <w:sz w:val="21"/>
                <w:szCs w:val="21"/>
                <w:highlight w:val="none"/>
              </w:rPr>
              <w:t>中国境内制造的产品必须提供出厂合格证，并提供采购人名下终端客户保修注册资料。</w:t>
            </w:r>
          </w:p>
          <w:p w14:paraId="795CA45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8.2 </w:t>
            </w:r>
            <w:r>
              <w:rPr>
                <w:rFonts w:hint="eastAsia" w:ascii="宋体" w:hAnsi="宋体" w:eastAsia="宋体" w:cs="宋体"/>
                <w:color w:val="auto"/>
                <w:sz w:val="21"/>
                <w:szCs w:val="21"/>
                <w:highlight w:val="none"/>
              </w:rPr>
              <w:t>关键产品/主机设备的用户手册、保修手册、</w:t>
            </w:r>
            <w:r>
              <w:rPr>
                <w:rFonts w:hint="eastAsia" w:ascii="宋体" w:hAnsi="宋体" w:eastAsia="宋体" w:cs="宋体"/>
                <w:color w:val="auto"/>
                <w:sz w:val="21"/>
                <w:szCs w:val="21"/>
                <w:highlight w:val="none"/>
                <w:lang w:eastAsia="zh-CN"/>
              </w:rPr>
              <w:t>维修手册、</w:t>
            </w:r>
            <w:r>
              <w:rPr>
                <w:rFonts w:hint="eastAsia" w:ascii="宋体" w:hAnsi="宋体" w:eastAsia="宋体" w:cs="宋体"/>
                <w:color w:val="auto"/>
                <w:sz w:val="21"/>
                <w:szCs w:val="21"/>
                <w:highlight w:val="none"/>
              </w:rPr>
              <w:t>有关单证资料及配备件、随机工具等，使用操作及安全须知等重要资料应附有</w:t>
            </w:r>
            <w:r>
              <w:rPr>
                <w:rFonts w:hint="eastAsia" w:ascii="宋体" w:hAnsi="宋体" w:eastAsia="宋体" w:cs="宋体"/>
                <w:color w:val="auto"/>
                <w:sz w:val="21"/>
                <w:szCs w:val="21"/>
                <w:highlight w:val="none"/>
                <w:lang w:val="en-US" w:eastAsia="zh-CN"/>
              </w:rPr>
              <w:t>原厂及</w:t>
            </w:r>
            <w:r>
              <w:rPr>
                <w:rFonts w:hint="eastAsia" w:ascii="宋体" w:hAnsi="宋体" w:eastAsia="宋体" w:cs="宋体"/>
                <w:color w:val="auto"/>
                <w:sz w:val="21"/>
                <w:szCs w:val="21"/>
                <w:highlight w:val="none"/>
              </w:rPr>
              <w:t>中文说明。</w:t>
            </w:r>
          </w:p>
        </w:tc>
      </w:tr>
    </w:tbl>
    <w:p w14:paraId="27E31D5B">
      <w:pPr>
        <w:keepNext/>
        <w:keepLines/>
        <w:adjustRightInd w:val="0"/>
        <w:spacing w:beforeLines="50" w:afterLines="50" w:line="360" w:lineRule="auto"/>
        <w:textAlignment w:val="baseline"/>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2.技术标准与要求</w:t>
      </w:r>
    </w:p>
    <w:tbl>
      <w:tblPr>
        <w:tblStyle w:val="12"/>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693"/>
        <w:gridCol w:w="1330"/>
        <w:gridCol w:w="1001"/>
        <w:gridCol w:w="542"/>
        <w:gridCol w:w="491"/>
        <w:gridCol w:w="1568"/>
        <w:gridCol w:w="1589"/>
        <w:gridCol w:w="634"/>
        <w:gridCol w:w="682"/>
      </w:tblGrid>
      <w:tr w14:paraId="4707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534" w:type="dxa"/>
            <w:shd w:val="clear" w:color="auto" w:fill="EEECE1"/>
            <w:noWrap w:val="0"/>
            <w:vAlign w:val="center"/>
          </w:tcPr>
          <w:p w14:paraId="4F13B045">
            <w:pPr>
              <w:keepNext/>
              <w:keepLines/>
              <w:adjustRightInd w:val="0"/>
              <w:spacing w:line="360" w:lineRule="auto"/>
              <w:jc w:val="center"/>
              <w:textAlignment w:val="baseline"/>
              <w:outlineLvl w:val="1"/>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693" w:type="dxa"/>
            <w:shd w:val="clear" w:color="auto" w:fill="EEECE1"/>
            <w:noWrap w:val="0"/>
            <w:vAlign w:val="center"/>
          </w:tcPr>
          <w:p w14:paraId="446253B8">
            <w:pPr>
              <w:keepNext/>
              <w:keepLines/>
              <w:adjustRightInd w:val="0"/>
              <w:spacing w:line="360" w:lineRule="auto"/>
              <w:jc w:val="center"/>
              <w:textAlignment w:val="baseline"/>
              <w:outlineLvl w:val="1"/>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核心产品（“△”）</w:t>
            </w:r>
          </w:p>
        </w:tc>
        <w:tc>
          <w:tcPr>
            <w:tcW w:w="1330" w:type="dxa"/>
            <w:shd w:val="clear" w:color="auto" w:fill="EEECE1"/>
            <w:noWrap w:val="0"/>
            <w:vAlign w:val="center"/>
          </w:tcPr>
          <w:p w14:paraId="1B244DDF">
            <w:pPr>
              <w:keepNext/>
              <w:keepLines/>
              <w:adjustRightInd w:val="0"/>
              <w:spacing w:line="360" w:lineRule="auto"/>
              <w:jc w:val="center"/>
              <w:textAlignment w:val="baseline"/>
              <w:outlineLvl w:val="1"/>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品目名称</w:t>
            </w:r>
          </w:p>
        </w:tc>
        <w:tc>
          <w:tcPr>
            <w:tcW w:w="1001" w:type="dxa"/>
            <w:shd w:val="clear" w:color="auto" w:fill="EEECE1"/>
            <w:noWrap w:val="0"/>
            <w:vAlign w:val="center"/>
          </w:tcPr>
          <w:p w14:paraId="10B70644">
            <w:pPr>
              <w:keepNext/>
              <w:keepLines/>
              <w:adjustRightInd w:val="0"/>
              <w:spacing w:line="360" w:lineRule="auto"/>
              <w:jc w:val="center"/>
              <w:textAlignment w:val="baseline"/>
              <w:outlineLvl w:val="1"/>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标的名称</w:t>
            </w:r>
          </w:p>
        </w:tc>
        <w:tc>
          <w:tcPr>
            <w:tcW w:w="542" w:type="dxa"/>
            <w:shd w:val="clear" w:color="auto" w:fill="EEECE1"/>
            <w:noWrap w:val="0"/>
            <w:vAlign w:val="center"/>
          </w:tcPr>
          <w:p w14:paraId="71C0CD2F">
            <w:pPr>
              <w:keepNext/>
              <w:keepLines/>
              <w:adjustRightInd w:val="0"/>
              <w:spacing w:line="360" w:lineRule="auto"/>
              <w:jc w:val="center"/>
              <w:textAlignment w:val="baseline"/>
              <w:outlineLvl w:val="1"/>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单位</w:t>
            </w:r>
          </w:p>
        </w:tc>
        <w:tc>
          <w:tcPr>
            <w:tcW w:w="491" w:type="dxa"/>
            <w:shd w:val="clear" w:color="auto" w:fill="EEECE1"/>
            <w:noWrap w:val="0"/>
            <w:vAlign w:val="center"/>
          </w:tcPr>
          <w:p w14:paraId="3152CE45">
            <w:pPr>
              <w:keepNext/>
              <w:keepLines/>
              <w:adjustRightInd w:val="0"/>
              <w:spacing w:line="360" w:lineRule="auto"/>
              <w:jc w:val="center"/>
              <w:textAlignment w:val="baseline"/>
              <w:outlineLvl w:val="1"/>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数量</w:t>
            </w:r>
          </w:p>
        </w:tc>
        <w:tc>
          <w:tcPr>
            <w:tcW w:w="1568" w:type="dxa"/>
            <w:shd w:val="clear" w:color="auto" w:fill="EEECE1"/>
            <w:noWrap w:val="0"/>
            <w:vAlign w:val="center"/>
          </w:tcPr>
          <w:p w14:paraId="2E10680F">
            <w:pPr>
              <w:keepNext/>
              <w:keepLines/>
              <w:adjustRightInd w:val="0"/>
              <w:spacing w:line="360" w:lineRule="exact"/>
              <w:jc w:val="center"/>
              <w:textAlignment w:val="baseline"/>
              <w:outlineLvl w:val="1"/>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分项预算单价（元）</w:t>
            </w:r>
          </w:p>
        </w:tc>
        <w:tc>
          <w:tcPr>
            <w:tcW w:w="1589" w:type="dxa"/>
            <w:shd w:val="clear" w:color="auto" w:fill="EEECE1"/>
            <w:noWrap w:val="0"/>
            <w:vAlign w:val="center"/>
          </w:tcPr>
          <w:p w14:paraId="7D5C0C1D">
            <w:pPr>
              <w:keepNext/>
              <w:keepLines/>
              <w:adjustRightInd w:val="0"/>
              <w:spacing w:line="360" w:lineRule="auto"/>
              <w:jc w:val="center"/>
              <w:textAlignment w:val="baseline"/>
              <w:outlineLvl w:val="1"/>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分项预算总</w:t>
            </w:r>
          </w:p>
          <w:p w14:paraId="2E605767">
            <w:pPr>
              <w:keepNext/>
              <w:keepLines/>
              <w:adjustRightInd w:val="0"/>
              <w:spacing w:line="360" w:lineRule="auto"/>
              <w:jc w:val="center"/>
              <w:textAlignment w:val="baseline"/>
              <w:outlineLvl w:val="1"/>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价（元）</w:t>
            </w:r>
          </w:p>
        </w:tc>
        <w:tc>
          <w:tcPr>
            <w:tcW w:w="634" w:type="dxa"/>
            <w:shd w:val="clear" w:color="auto" w:fill="EEECE1"/>
            <w:noWrap w:val="0"/>
            <w:vAlign w:val="center"/>
          </w:tcPr>
          <w:p w14:paraId="22933B45">
            <w:pPr>
              <w:keepNext/>
              <w:keepLines/>
              <w:adjustRightInd w:val="0"/>
              <w:spacing w:line="360" w:lineRule="auto"/>
              <w:jc w:val="center"/>
              <w:textAlignment w:val="baseline"/>
              <w:outlineLvl w:val="1"/>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所属行业</w:t>
            </w:r>
          </w:p>
        </w:tc>
        <w:tc>
          <w:tcPr>
            <w:tcW w:w="682" w:type="dxa"/>
            <w:shd w:val="clear" w:color="auto" w:fill="EEECE1"/>
            <w:noWrap w:val="0"/>
            <w:vAlign w:val="center"/>
          </w:tcPr>
          <w:p w14:paraId="2D8637ED">
            <w:pPr>
              <w:keepNext/>
              <w:keepLines/>
              <w:adjustRightInd w:val="0"/>
              <w:spacing w:line="360" w:lineRule="auto"/>
              <w:jc w:val="center"/>
              <w:textAlignment w:val="baseline"/>
              <w:outlineLvl w:val="1"/>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技术要求</w:t>
            </w:r>
          </w:p>
        </w:tc>
      </w:tr>
      <w:tr w14:paraId="020F9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534" w:type="dxa"/>
            <w:noWrap w:val="0"/>
            <w:vAlign w:val="center"/>
          </w:tcPr>
          <w:p w14:paraId="7E8253E5">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93" w:type="dxa"/>
            <w:noWrap w:val="0"/>
            <w:vAlign w:val="center"/>
          </w:tcPr>
          <w:p w14:paraId="1393A2FE">
            <w:pPr>
              <w:keepNext/>
              <w:keepLines/>
              <w:adjustRightInd w:val="0"/>
              <w:spacing w:line="360" w:lineRule="auto"/>
              <w:jc w:val="center"/>
              <w:textAlignment w:val="baseline"/>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w:t>
            </w:r>
          </w:p>
        </w:tc>
        <w:tc>
          <w:tcPr>
            <w:tcW w:w="1330" w:type="dxa"/>
            <w:noWrap w:val="0"/>
            <w:vAlign w:val="center"/>
          </w:tcPr>
          <w:p w14:paraId="075E05CE">
            <w:pPr>
              <w:widowControl/>
              <w:spacing w:line="360" w:lineRule="auto"/>
              <w:ind w:right="-29" w:rightChars="-14"/>
              <w:jc w:val="center"/>
              <w:rPr>
                <w:rFonts w:hint="eastAsia" w:ascii="宋体" w:hAnsi="宋体" w:eastAsia="宋体" w:cs="宋体"/>
                <w:bCs/>
                <w:color w:val="auto"/>
                <w:kern w:val="0"/>
                <w:szCs w:val="21"/>
                <w:highlight w:val="none"/>
                <w:lang w:eastAsia="zh-CN"/>
              </w:rPr>
            </w:pPr>
            <w:r>
              <w:rPr>
                <w:rFonts w:hint="eastAsia" w:ascii="宋体" w:hAnsi="宋体" w:eastAsia="宋体" w:cs="宋体"/>
                <w:color w:val="auto"/>
                <w:szCs w:val="21"/>
                <w:highlight w:val="none"/>
                <w:lang w:val="en-US" w:eastAsia="zh-CN"/>
              </w:rPr>
              <w:t>急救和生命支持设备</w:t>
            </w:r>
          </w:p>
        </w:tc>
        <w:tc>
          <w:tcPr>
            <w:tcW w:w="1001" w:type="dxa"/>
            <w:noWrap w:val="0"/>
            <w:vAlign w:val="center"/>
          </w:tcPr>
          <w:p w14:paraId="797B1A62">
            <w:pPr>
              <w:widowControl/>
              <w:spacing w:line="360" w:lineRule="auto"/>
              <w:ind w:right="-29" w:rightChars="-14"/>
              <w:jc w:val="center"/>
              <w:rPr>
                <w:rFonts w:hint="eastAsia" w:ascii="宋体" w:hAnsi="宋体" w:eastAsia="宋体" w:cs="宋体"/>
                <w:bCs/>
                <w:color w:val="auto"/>
                <w:kern w:val="0"/>
                <w:szCs w:val="21"/>
                <w:highlight w:val="none"/>
                <w:lang w:eastAsia="zh-CN"/>
              </w:rPr>
            </w:pPr>
            <w:r>
              <w:rPr>
                <w:rFonts w:hint="eastAsia" w:ascii="宋体" w:hAnsi="宋体" w:eastAsia="宋体" w:cs="宋体"/>
                <w:color w:val="auto"/>
                <w:szCs w:val="21"/>
                <w:highlight w:val="none"/>
                <w:lang w:eastAsia="zh-CN"/>
              </w:rPr>
              <w:t>除颤仪</w:t>
            </w:r>
          </w:p>
        </w:tc>
        <w:tc>
          <w:tcPr>
            <w:tcW w:w="542" w:type="dxa"/>
            <w:noWrap w:val="0"/>
            <w:vAlign w:val="center"/>
          </w:tcPr>
          <w:p w14:paraId="27F50AB9">
            <w:pPr>
              <w:widowControl/>
              <w:spacing w:line="360" w:lineRule="auto"/>
              <w:ind w:right="-29" w:rightChars="-14"/>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套</w:t>
            </w:r>
          </w:p>
        </w:tc>
        <w:tc>
          <w:tcPr>
            <w:tcW w:w="491" w:type="dxa"/>
            <w:noWrap w:val="0"/>
            <w:vAlign w:val="center"/>
          </w:tcPr>
          <w:p w14:paraId="755C788E">
            <w:pPr>
              <w:widowControl/>
              <w:spacing w:line="360" w:lineRule="auto"/>
              <w:ind w:right="-29" w:rightChars="-14"/>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1568" w:type="dxa"/>
            <w:noWrap w:val="0"/>
            <w:vAlign w:val="center"/>
          </w:tcPr>
          <w:p w14:paraId="73C108B1">
            <w:pPr>
              <w:keepNext w:val="0"/>
              <w:keepLines w:val="0"/>
              <w:widowControl/>
              <w:suppressLineNumbers w:val="0"/>
              <w:jc w:val="center"/>
              <w:textAlignment w:val="center"/>
              <w:rPr>
                <w:rFonts w:hint="eastAsia" w:ascii="宋体" w:hAnsi="宋体" w:cs="宋体"/>
                <w:color w:val="auto"/>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100,000.00</w:t>
            </w:r>
          </w:p>
        </w:tc>
        <w:tc>
          <w:tcPr>
            <w:tcW w:w="1589" w:type="dxa"/>
            <w:noWrap w:val="0"/>
            <w:vAlign w:val="center"/>
          </w:tcPr>
          <w:p w14:paraId="3BA45EC1">
            <w:pPr>
              <w:widowControl/>
              <w:spacing w:line="360" w:lineRule="auto"/>
              <w:ind w:right="-29" w:rightChars="-14"/>
              <w:jc w:val="center"/>
              <w:rPr>
                <w:rFonts w:hint="eastAsia" w:ascii="宋体" w:hAnsi="宋体" w:cs="宋体"/>
                <w:color w:val="auto"/>
                <w:highlight w:val="none"/>
                <w:lang w:eastAsia="zh-CN"/>
              </w:rPr>
            </w:pPr>
            <w:r>
              <w:rPr>
                <w:rFonts w:hint="eastAsia" w:ascii="宋体" w:hAnsi="宋体" w:eastAsia="宋体" w:cs="宋体"/>
                <w:color w:val="auto"/>
                <w:szCs w:val="21"/>
                <w:highlight w:val="none"/>
              </w:rPr>
              <w:t>900,000.00</w:t>
            </w:r>
          </w:p>
        </w:tc>
        <w:tc>
          <w:tcPr>
            <w:tcW w:w="634" w:type="dxa"/>
            <w:noWrap w:val="0"/>
            <w:vAlign w:val="center"/>
          </w:tcPr>
          <w:p w14:paraId="18E846CF">
            <w:pPr>
              <w:keepNext/>
              <w:keepLines/>
              <w:adjustRightInd w:val="0"/>
              <w:spacing w:line="360" w:lineRule="auto"/>
              <w:jc w:val="center"/>
              <w:textAlignment w:val="baseline"/>
              <w:outlineLvl w:val="1"/>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工业</w:t>
            </w:r>
          </w:p>
        </w:tc>
        <w:tc>
          <w:tcPr>
            <w:tcW w:w="682" w:type="dxa"/>
            <w:noWrap w:val="0"/>
            <w:vAlign w:val="center"/>
          </w:tcPr>
          <w:p w14:paraId="58DFE475">
            <w:pPr>
              <w:keepNext/>
              <w:keepLines/>
              <w:adjustRightInd w:val="0"/>
              <w:spacing w:line="360" w:lineRule="auto"/>
              <w:jc w:val="center"/>
              <w:textAlignment w:val="baseline"/>
              <w:outlineLvl w:val="1"/>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详见附表一</w:t>
            </w:r>
          </w:p>
        </w:tc>
      </w:tr>
      <w:tr w14:paraId="7B15D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534" w:type="dxa"/>
            <w:noWrap w:val="0"/>
            <w:vAlign w:val="center"/>
          </w:tcPr>
          <w:p w14:paraId="3F09F832">
            <w:pPr>
              <w:widowControl/>
              <w:jc w:val="center"/>
              <w:textAlignment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693" w:type="dxa"/>
            <w:noWrap w:val="0"/>
            <w:vAlign w:val="center"/>
          </w:tcPr>
          <w:p w14:paraId="1C0614E3">
            <w:pPr>
              <w:keepNext/>
              <w:keepLines/>
              <w:adjustRightInd w:val="0"/>
              <w:spacing w:line="360" w:lineRule="auto"/>
              <w:jc w:val="center"/>
              <w:textAlignment w:val="baseline"/>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w:t>
            </w:r>
          </w:p>
        </w:tc>
        <w:tc>
          <w:tcPr>
            <w:tcW w:w="1330" w:type="dxa"/>
            <w:noWrap w:val="0"/>
            <w:vAlign w:val="center"/>
          </w:tcPr>
          <w:p w14:paraId="0F78D461">
            <w:pPr>
              <w:widowControl/>
              <w:spacing w:line="360" w:lineRule="auto"/>
              <w:ind w:right="-29" w:rightChars="-14"/>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急救和生命支持设备</w:t>
            </w:r>
          </w:p>
        </w:tc>
        <w:tc>
          <w:tcPr>
            <w:tcW w:w="1001" w:type="dxa"/>
            <w:noWrap w:val="0"/>
            <w:vAlign w:val="center"/>
          </w:tcPr>
          <w:p w14:paraId="0F96373D">
            <w:pPr>
              <w:widowControl/>
              <w:spacing w:line="360" w:lineRule="auto"/>
              <w:ind w:right="-29" w:rightChars="-14"/>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呼吸湿化治疗仪</w:t>
            </w:r>
          </w:p>
        </w:tc>
        <w:tc>
          <w:tcPr>
            <w:tcW w:w="542" w:type="dxa"/>
            <w:noWrap w:val="0"/>
            <w:vAlign w:val="center"/>
          </w:tcPr>
          <w:p w14:paraId="050F0531">
            <w:pPr>
              <w:widowControl/>
              <w:spacing w:line="360" w:lineRule="auto"/>
              <w:ind w:right="-29" w:rightChars="-14"/>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套</w:t>
            </w:r>
          </w:p>
        </w:tc>
        <w:tc>
          <w:tcPr>
            <w:tcW w:w="491" w:type="dxa"/>
            <w:noWrap w:val="0"/>
            <w:vAlign w:val="center"/>
          </w:tcPr>
          <w:p w14:paraId="4D844DA4">
            <w:pPr>
              <w:widowControl/>
              <w:spacing w:line="360" w:lineRule="auto"/>
              <w:ind w:right="-29" w:rightChars="-14"/>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1568" w:type="dxa"/>
            <w:noWrap w:val="0"/>
            <w:vAlign w:val="center"/>
          </w:tcPr>
          <w:p w14:paraId="6D9C087A">
            <w:pPr>
              <w:keepNext w:val="0"/>
              <w:keepLines w:val="0"/>
              <w:widowControl/>
              <w:suppressLineNumbers w:val="0"/>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40,000.00</w:t>
            </w:r>
          </w:p>
        </w:tc>
        <w:tc>
          <w:tcPr>
            <w:tcW w:w="1589" w:type="dxa"/>
            <w:noWrap w:val="0"/>
            <w:vAlign w:val="center"/>
          </w:tcPr>
          <w:p w14:paraId="7135F5A3">
            <w:pPr>
              <w:widowControl/>
              <w:spacing w:line="360" w:lineRule="auto"/>
              <w:ind w:right="-29" w:rightChars="-14"/>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200,000.00</w:t>
            </w:r>
          </w:p>
        </w:tc>
        <w:tc>
          <w:tcPr>
            <w:tcW w:w="634" w:type="dxa"/>
            <w:noWrap w:val="0"/>
            <w:vAlign w:val="center"/>
          </w:tcPr>
          <w:p w14:paraId="7A57E7F4">
            <w:pPr>
              <w:keepNext/>
              <w:keepLines/>
              <w:adjustRightInd w:val="0"/>
              <w:spacing w:line="360" w:lineRule="auto"/>
              <w:jc w:val="center"/>
              <w:textAlignment w:val="baseline"/>
              <w:outlineLvl w:val="1"/>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工业</w:t>
            </w:r>
          </w:p>
        </w:tc>
        <w:tc>
          <w:tcPr>
            <w:tcW w:w="682" w:type="dxa"/>
            <w:noWrap w:val="0"/>
            <w:vAlign w:val="center"/>
          </w:tcPr>
          <w:p w14:paraId="47330857">
            <w:pPr>
              <w:keepNext/>
              <w:keepLines/>
              <w:adjustRightInd w:val="0"/>
              <w:spacing w:line="360" w:lineRule="auto"/>
              <w:jc w:val="center"/>
              <w:textAlignment w:val="baseline"/>
              <w:outlineLvl w:val="1"/>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详见附表</w:t>
            </w:r>
            <w:r>
              <w:rPr>
                <w:rFonts w:hint="eastAsia" w:ascii="宋体" w:hAnsi="宋体" w:eastAsia="宋体" w:cs="宋体"/>
                <w:bCs/>
                <w:color w:val="auto"/>
                <w:kern w:val="0"/>
                <w:szCs w:val="21"/>
                <w:highlight w:val="none"/>
                <w:lang w:val="en-US" w:eastAsia="zh-CN"/>
              </w:rPr>
              <w:t>二</w:t>
            </w:r>
          </w:p>
        </w:tc>
      </w:tr>
      <w:tr w14:paraId="0C74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534" w:type="dxa"/>
            <w:noWrap w:val="0"/>
            <w:vAlign w:val="center"/>
          </w:tcPr>
          <w:p w14:paraId="3C96BB59">
            <w:pPr>
              <w:widowControl/>
              <w:jc w:val="center"/>
              <w:textAlignment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693" w:type="dxa"/>
            <w:noWrap w:val="0"/>
            <w:vAlign w:val="center"/>
          </w:tcPr>
          <w:p w14:paraId="0A062E92">
            <w:pPr>
              <w:keepNext/>
              <w:keepLines/>
              <w:adjustRightInd w:val="0"/>
              <w:spacing w:line="360" w:lineRule="auto"/>
              <w:jc w:val="center"/>
              <w:textAlignment w:val="baseline"/>
              <w:rPr>
                <w:rFonts w:hint="eastAsia" w:ascii="宋体" w:hAnsi="宋体" w:eastAsia="宋体" w:cs="宋体"/>
                <w:bCs/>
                <w:color w:val="auto"/>
                <w:kern w:val="0"/>
                <w:szCs w:val="21"/>
                <w:highlight w:val="none"/>
              </w:rPr>
            </w:pPr>
          </w:p>
        </w:tc>
        <w:tc>
          <w:tcPr>
            <w:tcW w:w="1330" w:type="dxa"/>
            <w:noWrap w:val="0"/>
            <w:vAlign w:val="center"/>
          </w:tcPr>
          <w:p w14:paraId="2459373F">
            <w:pPr>
              <w:widowControl/>
              <w:spacing w:line="360" w:lineRule="auto"/>
              <w:ind w:right="-29" w:rightChars="-14"/>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急救和生命支持设备</w:t>
            </w:r>
          </w:p>
        </w:tc>
        <w:tc>
          <w:tcPr>
            <w:tcW w:w="1001" w:type="dxa"/>
            <w:noWrap w:val="0"/>
            <w:vAlign w:val="center"/>
          </w:tcPr>
          <w:p w14:paraId="456E9308">
            <w:pPr>
              <w:widowControl/>
              <w:spacing w:line="360" w:lineRule="auto"/>
              <w:ind w:right="-29" w:rightChars="-14"/>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壁式医用负压吸引器</w:t>
            </w:r>
          </w:p>
        </w:tc>
        <w:tc>
          <w:tcPr>
            <w:tcW w:w="542" w:type="dxa"/>
            <w:noWrap w:val="0"/>
            <w:vAlign w:val="center"/>
          </w:tcPr>
          <w:p w14:paraId="2336E931">
            <w:pPr>
              <w:widowControl/>
              <w:spacing w:line="360" w:lineRule="auto"/>
              <w:ind w:right="-29" w:rightChars="-14"/>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套</w:t>
            </w:r>
          </w:p>
        </w:tc>
        <w:tc>
          <w:tcPr>
            <w:tcW w:w="491" w:type="dxa"/>
            <w:noWrap w:val="0"/>
            <w:vAlign w:val="center"/>
          </w:tcPr>
          <w:p w14:paraId="5E8407F0">
            <w:pPr>
              <w:widowControl/>
              <w:spacing w:line="360" w:lineRule="auto"/>
              <w:ind w:right="-29" w:rightChars="-14"/>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1568" w:type="dxa"/>
            <w:noWrap w:val="0"/>
            <w:vAlign w:val="center"/>
          </w:tcPr>
          <w:p w14:paraId="2935AC20">
            <w:pPr>
              <w:keepNext w:val="0"/>
              <w:keepLines w:val="0"/>
              <w:widowControl/>
              <w:suppressLineNumbers w:val="0"/>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2,500.00</w:t>
            </w:r>
          </w:p>
        </w:tc>
        <w:tc>
          <w:tcPr>
            <w:tcW w:w="1589" w:type="dxa"/>
            <w:noWrap w:val="0"/>
            <w:vAlign w:val="center"/>
          </w:tcPr>
          <w:p w14:paraId="018CDB7B">
            <w:pPr>
              <w:widowControl/>
              <w:spacing w:line="360" w:lineRule="auto"/>
              <w:ind w:right="-29" w:rightChars="-14"/>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12,500.00</w:t>
            </w:r>
          </w:p>
        </w:tc>
        <w:tc>
          <w:tcPr>
            <w:tcW w:w="634" w:type="dxa"/>
            <w:noWrap w:val="0"/>
            <w:vAlign w:val="center"/>
          </w:tcPr>
          <w:p w14:paraId="025CFCC5">
            <w:pPr>
              <w:keepNext/>
              <w:keepLines/>
              <w:adjustRightInd w:val="0"/>
              <w:spacing w:line="360" w:lineRule="auto"/>
              <w:jc w:val="center"/>
              <w:textAlignment w:val="baseline"/>
              <w:outlineLvl w:val="1"/>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工业</w:t>
            </w:r>
          </w:p>
        </w:tc>
        <w:tc>
          <w:tcPr>
            <w:tcW w:w="682" w:type="dxa"/>
            <w:noWrap w:val="0"/>
            <w:vAlign w:val="center"/>
          </w:tcPr>
          <w:p w14:paraId="005CD67A">
            <w:pPr>
              <w:keepNext/>
              <w:keepLines/>
              <w:adjustRightInd w:val="0"/>
              <w:spacing w:line="360" w:lineRule="auto"/>
              <w:jc w:val="center"/>
              <w:textAlignment w:val="baseline"/>
              <w:outlineLvl w:val="1"/>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详见附表</w:t>
            </w:r>
            <w:r>
              <w:rPr>
                <w:rFonts w:hint="eastAsia" w:ascii="宋体" w:hAnsi="宋体" w:eastAsia="宋体" w:cs="宋体"/>
                <w:bCs/>
                <w:color w:val="auto"/>
                <w:kern w:val="0"/>
                <w:szCs w:val="21"/>
                <w:highlight w:val="none"/>
                <w:lang w:val="en-US" w:eastAsia="zh-CN"/>
              </w:rPr>
              <w:t>三</w:t>
            </w:r>
          </w:p>
        </w:tc>
      </w:tr>
      <w:tr w14:paraId="3D990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534" w:type="dxa"/>
            <w:noWrap w:val="0"/>
            <w:vAlign w:val="center"/>
          </w:tcPr>
          <w:p w14:paraId="1B357106">
            <w:pPr>
              <w:widowControl/>
              <w:jc w:val="center"/>
              <w:textAlignment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693" w:type="dxa"/>
            <w:noWrap w:val="0"/>
            <w:vAlign w:val="center"/>
          </w:tcPr>
          <w:p w14:paraId="1D86E0BC">
            <w:pPr>
              <w:keepNext/>
              <w:keepLines/>
              <w:adjustRightInd w:val="0"/>
              <w:spacing w:line="360" w:lineRule="auto"/>
              <w:jc w:val="center"/>
              <w:textAlignment w:val="baseline"/>
              <w:rPr>
                <w:rFonts w:hint="eastAsia" w:ascii="宋体" w:hAnsi="宋体" w:eastAsia="宋体" w:cs="宋体"/>
                <w:bCs/>
                <w:color w:val="auto"/>
                <w:kern w:val="0"/>
                <w:szCs w:val="21"/>
                <w:highlight w:val="none"/>
              </w:rPr>
            </w:pPr>
          </w:p>
        </w:tc>
        <w:tc>
          <w:tcPr>
            <w:tcW w:w="1330" w:type="dxa"/>
            <w:noWrap w:val="0"/>
            <w:vAlign w:val="center"/>
          </w:tcPr>
          <w:p w14:paraId="0FAA7AFA">
            <w:pPr>
              <w:widowControl/>
              <w:spacing w:line="360" w:lineRule="auto"/>
              <w:ind w:right="-29" w:rightChars="-14"/>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急救和生命支持设备</w:t>
            </w:r>
          </w:p>
        </w:tc>
        <w:tc>
          <w:tcPr>
            <w:tcW w:w="1001" w:type="dxa"/>
            <w:noWrap w:val="0"/>
            <w:vAlign w:val="center"/>
          </w:tcPr>
          <w:p w14:paraId="7CDFDA04">
            <w:pPr>
              <w:widowControl/>
              <w:spacing w:line="360" w:lineRule="auto"/>
              <w:ind w:right="-29" w:rightChars="-14"/>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AED除颤仪</w:t>
            </w:r>
          </w:p>
        </w:tc>
        <w:tc>
          <w:tcPr>
            <w:tcW w:w="542" w:type="dxa"/>
            <w:noWrap w:val="0"/>
            <w:vAlign w:val="center"/>
          </w:tcPr>
          <w:p w14:paraId="61FD65E0">
            <w:pPr>
              <w:widowControl/>
              <w:spacing w:line="360" w:lineRule="auto"/>
              <w:ind w:right="-29" w:rightChars="-14"/>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套</w:t>
            </w:r>
          </w:p>
        </w:tc>
        <w:tc>
          <w:tcPr>
            <w:tcW w:w="491" w:type="dxa"/>
            <w:noWrap w:val="0"/>
            <w:vAlign w:val="center"/>
          </w:tcPr>
          <w:p w14:paraId="49C5FFA6">
            <w:pPr>
              <w:widowControl/>
              <w:spacing w:line="360" w:lineRule="auto"/>
              <w:ind w:right="-29" w:rightChars="-14"/>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568" w:type="dxa"/>
            <w:noWrap w:val="0"/>
            <w:vAlign w:val="center"/>
          </w:tcPr>
          <w:p w14:paraId="480F693E">
            <w:pPr>
              <w:keepNext w:val="0"/>
              <w:keepLines w:val="0"/>
              <w:widowControl/>
              <w:suppressLineNumbers w:val="0"/>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20,000.00</w:t>
            </w:r>
          </w:p>
        </w:tc>
        <w:tc>
          <w:tcPr>
            <w:tcW w:w="1589" w:type="dxa"/>
            <w:noWrap w:val="0"/>
            <w:vAlign w:val="center"/>
          </w:tcPr>
          <w:p w14:paraId="21E4C8C9">
            <w:pPr>
              <w:widowControl/>
              <w:spacing w:line="360" w:lineRule="auto"/>
              <w:ind w:right="-29" w:rightChars="-14"/>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60,000.00</w:t>
            </w:r>
          </w:p>
        </w:tc>
        <w:tc>
          <w:tcPr>
            <w:tcW w:w="634" w:type="dxa"/>
            <w:noWrap w:val="0"/>
            <w:vAlign w:val="center"/>
          </w:tcPr>
          <w:p w14:paraId="538C210A">
            <w:pPr>
              <w:keepNext/>
              <w:keepLines/>
              <w:adjustRightInd w:val="0"/>
              <w:spacing w:line="360" w:lineRule="auto"/>
              <w:jc w:val="center"/>
              <w:textAlignment w:val="baseline"/>
              <w:outlineLvl w:val="1"/>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工业</w:t>
            </w:r>
          </w:p>
        </w:tc>
        <w:tc>
          <w:tcPr>
            <w:tcW w:w="682" w:type="dxa"/>
            <w:noWrap w:val="0"/>
            <w:vAlign w:val="center"/>
          </w:tcPr>
          <w:p w14:paraId="04A1FF41">
            <w:pPr>
              <w:keepNext/>
              <w:keepLines/>
              <w:adjustRightInd w:val="0"/>
              <w:spacing w:line="360" w:lineRule="auto"/>
              <w:jc w:val="center"/>
              <w:textAlignment w:val="baseline"/>
              <w:outlineLvl w:val="1"/>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详见附表</w:t>
            </w:r>
            <w:r>
              <w:rPr>
                <w:rFonts w:hint="eastAsia" w:ascii="宋体" w:hAnsi="宋体" w:eastAsia="宋体" w:cs="宋体"/>
                <w:bCs/>
                <w:color w:val="auto"/>
                <w:kern w:val="0"/>
                <w:szCs w:val="21"/>
                <w:highlight w:val="none"/>
                <w:lang w:val="en-US" w:eastAsia="zh-CN"/>
              </w:rPr>
              <w:t>四</w:t>
            </w:r>
          </w:p>
        </w:tc>
      </w:tr>
    </w:tbl>
    <w:p w14:paraId="52912B09">
      <w:pPr>
        <w:keepNext/>
        <w:keepLines/>
        <w:adjustRightInd w:val="0"/>
        <w:spacing w:line="360" w:lineRule="auto"/>
        <w:jc w:val="left"/>
        <w:textAlignment w:val="baseline"/>
        <w:outlineLvl w:val="1"/>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rPr>
        <w:t>附</w:t>
      </w:r>
      <w:r>
        <w:rPr>
          <w:rFonts w:hint="eastAsia" w:ascii="宋体" w:hAnsi="宋体" w:eastAsia="宋体" w:cs="宋体"/>
          <w:b/>
          <w:bCs w:val="0"/>
          <w:color w:val="auto"/>
          <w:kern w:val="0"/>
          <w:sz w:val="24"/>
          <w:szCs w:val="24"/>
          <w:highlight w:val="none"/>
        </w:rPr>
        <w:t>表</w:t>
      </w:r>
      <w:r>
        <w:rPr>
          <w:rFonts w:hint="eastAsia" w:ascii="宋体" w:hAnsi="宋体" w:eastAsia="宋体" w:cs="宋体"/>
          <w:b/>
          <w:bCs w:val="0"/>
          <w:color w:val="auto"/>
          <w:kern w:val="0"/>
          <w:sz w:val="24"/>
          <w:szCs w:val="24"/>
          <w:highlight w:val="none"/>
          <w:lang w:val="en-US" w:eastAsia="zh-CN"/>
        </w:rPr>
        <w:t>一</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eastAsia="zh-CN"/>
        </w:rPr>
        <w:t>除颤仪</w:t>
      </w:r>
    </w:p>
    <w:tbl>
      <w:tblPr>
        <w:tblStyle w:val="12"/>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450"/>
        <w:gridCol w:w="8454"/>
      </w:tblGrid>
      <w:tr w14:paraId="1EFF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491" w:type="dxa"/>
            <w:shd w:val="clear" w:color="auto" w:fill="EEECE1"/>
            <w:noWrap w:val="0"/>
            <w:vAlign w:val="center"/>
          </w:tcPr>
          <w:p w14:paraId="2E078AB3">
            <w:pPr>
              <w:keepNext/>
              <w:keepLines/>
              <w:adjustRightInd w:val="0"/>
              <w:spacing w:line="360" w:lineRule="auto"/>
              <w:jc w:val="center"/>
              <w:textAlignment w:val="baseline"/>
              <w:outlineLvl w:val="1"/>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参数性质</w:t>
            </w:r>
          </w:p>
        </w:tc>
        <w:tc>
          <w:tcPr>
            <w:tcW w:w="450" w:type="dxa"/>
            <w:shd w:val="clear" w:color="auto" w:fill="EEECE1"/>
            <w:noWrap w:val="0"/>
            <w:vAlign w:val="center"/>
          </w:tcPr>
          <w:p w14:paraId="2D7BFB0B">
            <w:pPr>
              <w:keepNext/>
              <w:keepLines/>
              <w:adjustRightInd w:val="0"/>
              <w:spacing w:line="360" w:lineRule="auto"/>
              <w:jc w:val="center"/>
              <w:textAlignment w:val="baseline"/>
              <w:outlineLvl w:val="1"/>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8454" w:type="dxa"/>
            <w:shd w:val="clear" w:color="auto" w:fill="EEECE1"/>
            <w:noWrap w:val="0"/>
            <w:vAlign w:val="center"/>
          </w:tcPr>
          <w:p w14:paraId="6B2405A5">
            <w:pPr>
              <w:keepNext/>
              <w:keepLines/>
              <w:adjustRightInd w:val="0"/>
              <w:spacing w:line="360" w:lineRule="auto"/>
              <w:jc w:val="center"/>
              <w:textAlignment w:val="baseline"/>
              <w:outlineLvl w:val="1"/>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具体技术（参数）要求</w:t>
            </w:r>
          </w:p>
        </w:tc>
      </w:tr>
      <w:tr w14:paraId="3CBE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noWrap w:val="0"/>
            <w:vAlign w:val="center"/>
          </w:tcPr>
          <w:p w14:paraId="4C8F9890">
            <w:pPr>
              <w:keepNext/>
              <w:keepLines/>
              <w:adjustRightInd w:val="0"/>
              <w:spacing w:line="360" w:lineRule="auto"/>
              <w:jc w:val="center"/>
              <w:textAlignment w:val="baseline"/>
              <w:rPr>
                <w:rFonts w:hint="eastAsia" w:ascii="宋体" w:hAnsi="宋体" w:eastAsia="宋体" w:cs="宋体"/>
                <w:bCs/>
                <w:color w:val="auto"/>
                <w:kern w:val="0"/>
                <w:szCs w:val="21"/>
                <w:highlight w:val="none"/>
              </w:rPr>
            </w:pPr>
          </w:p>
        </w:tc>
        <w:tc>
          <w:tcPr>
            <w:tcW w:w="450" w:type="dxa"/>
            <w:noWrap w:val="0"/>
            <w:vAlign w:val="center"/>
          </w:tcPr>
          <w:p w14:paraId="33B0A1C2">
            <w:pPr>
              <w:keepNext/>
              <w:keepLines/>
              <w:adjustRightInd w:val="0"/>
              <w:spacing w:line="360" w:lineRule="auto"/>
              <w:jc w:val="center"/>
              <w:textAlignment w:val="baseline"/>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w:t>
            </w:r>
          </w:p>
        </w:tc>
        <w:tc>
          <w:tcPr>
            <w:tcW w:w="8454" w:type="dxa"/>
            <w:noWrap w:val="0"/>
            <w:vAlign w:val="bottom"/>
          </w:tcPr>
          <w:p w14:paraId="179F33A5">
            <w:pPr>
              <w:pStyle w:val="16"/>
              <w:keepNext w:val="0"/>
              <w:keepLines w:val="0"/>
              <w:pageBreakBefore w:val="0"/>
              <w:numPr>
                <w:ilvl w:val="0"/>
                <w:numId w:val="0"/>
              </w:numPr>
              <w:kinsoku/>
              <w:wordWrap/>
              <w:overflowPunct/>
              <w:topLinePunct w:val="0"/>
              <w:autoSpaceDE/>
              <w:autoSpaceDN/>
              <w:bidi w:val="0"/>
              <w:adjustRightInd/>
              <w:snapToGrid/>
              <w:spacing w:line="360" w:lineRule="auto"/>
              <w:ind w:left="0" w:firstLine="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★一、产品要求：投标产品须为具有《医疗器械注册证》的产品。（提供《医疗器械注册证》并加盖投标人公章）</w:t>
            </w:r>
          </w:p>
          <w:p w14:paraId="08F6A88B">
            <w:pPr>
              <w:pStyle w:val="1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val="0"/>
                <w:color w:val="auto"/>
                <w:kern w:val="2"/>
                <w:sz w:val="21"/>
                <w:szCs w:val="21"/>
                <w:highlight w:val="none"/>
                <w:lang w:val="en-US" w:eastAsia="zh-CN" w:bidi="ar-SA"/>
              </w:rPr>
              <w:t>二、</w:t>
            </w:r>
            <w:r>
              <w:rPr>
                <w:rFonts w:hint="eastAsia" w:ascii="宋体" w:hAnsi="宋体" w:eastAsia="宋体" w:cs="宋体"/>
                <w:b/>
                <w:color w:val="auto"/>
                <w:sz w:val="21"/>
                <w:szCs w:val="21"/>
                <w:highlight w:val="none"/>
              </w:rPr>
              <w:t>主要技术参数：</w:t>
            </w:r>
          </w:p>
          <w:p w14:paraId="5FFEDBDF">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1.彩色电容触摸屏≥8英寸, 分辨率1024×768像素，可显示≥5通道监护参数波形，支持手势操作、自动亮度调节。</w:t>
            </w:r>
          </w:p>
          <w:p w14:paraId="32C8F561">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2.可提供图形化故障排除指引，帮助医护人员快速解决设备故障。</w:t>
            </w:r>
          </w:p>
          <w:p w14:paraId="146FBC4D">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3.支持中文或英文操作界面。</w:t>
            </w:r>
          </w:p>
          <w:p w14:paraId="2A87287F">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4.屏幕显示心电波形最大扫描时间≥35s。</w:t>
            </w:r>
          </w:p>
          <w:p w14:paraId="3E99FF5A">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5.具备手动除颤、心电监护、呼吸监护、自动体外除颤（AED）等功能，AED功能适用于30天以上</w:t>
            </w:r>
            <w:r>
              <w:rPr>
                <w:rFonts w:hint="eastAsia" w:ascii="宋体" w:hAnsi="宋体" w:eastAsia="宋体" w:cs="宋体"/>
                <w:b w:val="0"/>
                <w:bCs w:val="0"/>
                <w:color w:val="auto"/>
                <w:sz w:val="21"/>
                <w:szCs w:val="21"/>
                <w:highlight w:val="none"/>
              </w:rPr>
              <w:t>人群。</w:t>
            </w:r>
          </w:p>
          <w:p w14:paraId="0FEDCD3B">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6.除颤采用双相波技术，具备自动阻抗补偿功能。</w:t>
            </w:r>
          </w:p>
          <w:p w14:paraId="0E9DCE06">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7.手动除颤分为同步和异步两种方式，能量分15档以上，可通过体外电极板进行能量选择，最大能量≥350J。</w:t>
            </w:r>
          </w:p>
          <w:p w14:paraId="58E569AF">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8.可配置体内除颤手柄，体内手动除颤能量选择：1/2/3/4/5/6/7/8/9/10/15/20/30 J；</w:t>
            </w:r>
          </w:p>
          <w:p w14:paraId="5B799A0A">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9.支持至少三种尺寸体内除颤电极板，适用不同病人类型（需提供</w:t>
            </w:r>
            <w:r>
              <w:rPr>
                <w:rFonts w:hint="eastAsia" w:ascii="宋体" w:hAnsi="宋体" w:eastAsia="宋体" w:cs="宋体"/>
                <w:b w:val="0"/>
                <w:bCs w:val="0"/>
                <w:color w:val="auto"/>
                <w:sz w:val="21"/>
                <w:szCs w:val="21"/>
                <w:highlight w:val="none"/>
              </w:rPr>
              <w:t>除颤电极板的</w:t>
            </w:r>
            <w:r>
              <w:rPr>
                <w:rFonts w:hint="eastAsia" w:ascii="宋体" w:hAnsi="宋体" w:eastAsia="宋体" w:cs="宋体"/>
                <w:b w:val="0"/>
                <w:bCs w:val="0"/>
                <w:color w:val="auto"/>
                <w:sz w:val="21"/>
                <w:szCs w:val="21"/>
                <w:highlight w:val="none"/>
              </w:rPr>
              <w:t>医疗器械注册证等材料并盖</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公章），如新生儿体内电极板2.5cm±0.5cm，小儿体内电极板5.0cm±0.5cm，成人体内电极板7.5cm±0.5cm。</w:t>
            </w:r>
          </w:p>
          <w:p w14:paraId="2EC4695D">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10.可配置带放电按键的体内除颤电极板。</w:t>
            </w:r>
          </w:p>
          <w:p w14:paraId="4C997B05">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11.体外除颤电极板同时支持成人和小儿，可快速切换。</w:t>
            </w:r>
          </w:p>
          <w:p w14:paraId="07816DE6">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12.电极板支持能量选择，充电和放电三步操作，满足单人除颤操作。</w:t>
            </w:r>
          </w:p>
          <w:p w14:paraId="0E7B2509">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AED除颤功能提供中文语音和中文提醒功能，对于抢救过程支持自动录音功能，记录时长≥7小时。</w:t>
            </w:r>
          </w:p>
          <w:p w14:paraId="3B54CD29">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14.开机到可进行除颤充电操作的时间≤2s，符合临床使用。</w:t>
            </w:r>
          </w:p>
          <w:p w14:paraId="130158D7">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15.除颤充电迅速，充电至200J≤5s。</w:t>
            </w:r>
          </w:p>
          <w:p w14:paraId="4E276234">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16.除颤后心电基线恢复时间≤3s。</w:t>
            </w:r>
          </w:p>
          <w:p w14:paraId="7DB23B3F">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17.从开始AED分析到放电准备就绪≤10s。</w:t>
            </w:r>
          </w:p>
          <w:p w14:paraId="375EE578">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18.体外电极板支持病人接触状态显示。</w:t>
            </w:r>
          </w:p>
          <w:p w14:paraId="4BC1AC9F">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19.支持智能分析功能，手动除颤模式下也可提供自动节律分析和操作指引。</w:t>
            </w:r>
          </w:p>
          <w:p w14:paraId="3847A211">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20.支持体外起搏功能，起搏分为固定和按需两种模式。具备降速起搏功能。</w:t>
            </w:r>
          </w:p>
          <w:p w14:paraId="396F33E4">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21.可根据用户需求升级CPR辅助功能，CPR传感器设计符合2020 AHA指南，提供即时的按压反馈，设备界面提供按压深度、频率实时参数显示。</w:t>
            </w:r>
          </w:p>
          <w:p w14:paraId="404CB36C">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22.可根据用户需求升级基于脉搏氧波形分析的心肺复苏质量指数，实现无创、实时评估人工心肺复苏质量。</w:t>
            </w:r>
          </w:p>
          <w:p w14:paraId="76393B06">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23.提供CPR按压干扰滤过功能，通过除颤电极片或CPR传感器自动检测按压干扰并实时滤波，减少按压中断。</w:t>
            </w:r>
          </w:p>
          <w:p w14:paraId="1C32E855">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24.抢救结束后自动生成抢救报告，并可通过网络将除颤和按压数据自动上传至急救数据分析系统；急救数据分析系统提供抢救数据复盘、分析工具。</w:t>
            </w:r>
          </w:p>
          <w:p w14:paraId="50C271D6">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25.支持培训模式，包含CPR操作培训、抢救操作培训等；可提供培训考核系统，支持多台设备同时接入进行在线培训、考核。</w:t>
            </w:r>
          </w:p>
          <w:p w14:paraId="7E8E4010">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26.心电波形速度支持50 mm/s、25 mm/s、12.5 mm/s、6.25 mm/s。阻抗呼吸和呼吸末二氧化碳波形速度支持25 mm/s、12.5 mm/s、6.25 mm/s。血氧饱和度波形速度支持25 mm/s、12.5 mm/s。</w:t>
            </w:r>
          </w:p>
          <w:p w14:paraId="3B3B8AF0">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27.通过心电电极片可监测的心律失常分析种类不少于27种。</w:t>
            </w:r>
          </w:p>
          <w:p w14:paraId="4EAA3191">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28.支持ST和QT实时分析。</w:t>
            </w:r>
          </w:p>
          <w:p w14:paraId="125A7884">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29.阻抗呼吸率范围：0-200rpm。</w:t>
            </w:r>
          </w:p>
          <w:p w14:paraId="3BDD44AE">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30.具备监护功能：血氧饱和度、无创血压，可根据用户需求升级呼吸末二氧化碳。</w:t>
            </w:r>
          </w:p>
          <w:p w14:paraId="6031D331">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脉率范围：20-300bpm。</w:t>
            </w:r>
          </w:p>
          <w:p w14:paraId="27BA3484">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无创血压收缩压测量范围：25-290mmHg（成人）、25-240mmHg（小儿）、25-140mmHg（新生儿），舒张压测量范围：10-250mmHg（成人）、10-200mmHg（小儿），10-115mmHg（新生儿）。</w:t>
            </w:r>
          </w:p>
          <w:p w14:paraId="1555F8BB">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可根据病人类型自动切换除颤默认能量、CPR提示和参数报警限。</w:t>
            </w:r>
          </w:p>
          <w:p w14:paraId="17D659B3">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支持连接医院现有中央站，与科室床旁监护仪共用监护网络。</w:t>
            </w:r>
          </w:p>
          <w:p w14:paraId="6E9CC89D">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支持通过中央站远程修改病人信息和系统时间同步。</w:t>
            </w:r>
          </w:p>
          <w:p w14:paraId="7BF5E9B3">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支持提供符合国际标准最新的HL7协议，满足院前院内急救系统的联网通信。</w:t>
            </w:r>
          </w:p>
          <w:p w14:paraId="34F0D18E">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配≥1块外置智能锂电池，可支持200J除颤≥300次。</w:t>
            </w:r>
          </w:p>
          <w:p w14:paraId="6B0DC808">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无需开机或拆机即可查看电池电量；电池可徒手拆卸，无需拆机，便于维护。</w:t>
            </w:r>
          </w:p>
          <w:p w14:paraId="6748076C">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39</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具备生理报警和技术报警功能，通过声音、文字和灯光3种方式进行报警。</w:t>
            </w:r>
          </w:p>
          <w:p w14:paraId="550FE7F4">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配置≤50mm记录纸记录仪，可同时打印≥3通道波形；自动打印除颤记录，单次波形记录时间最大≥30s；支持连续波形记录。</w:t>
            </w:r>
          </w:p>
          <w:p w14:paraId="7C705FBB">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可存储≥120小时连续ECG波形，数据可导出至电脑查看。</w:t>
            </w:r>
          </w:p>
          <w:p w14:paraId="5E3F53E0">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关机状态下设备支持每天定时自动运行自检（含监护模块和治疗模块），支持定期自动大能量自检（最大放电能量）。</w:t>
            </w:r>
          </w:p>
          <w:p w14:paraId="17CCBF9F">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支持设备状态指示灯用户检测。</w:t>
            </w:r>
          </w:p>
          <w:p w14:paraId="56CA0C04">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设备自检后支持对于自检报告进行自动打印或按需打印。</w:t>
            </w:r>
          </w:p>
          <w:p w14:paraId="29B9ACDB">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支持自检放电能量精度显示和打印。</w:t>
            </w:r>
          </w:p>
          <w:p w14:paraId="1813302A">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可自动上传自检报告，并支持在设备管理系统或中央站集中查看除颤设备状态。</w:t>
            </w:r>
          </w:p>
          <w:p w14:paraId="122657BE">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具备防尘防水性能，防尘防水级别需达到IP55或优于。</w:t>
            </w:r>
          </w:p>
          <w:p w14:paraId="14E69030">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抗跌落性能需满足救护车标准EN1789 中6.3.4.3 关于跌落试验的要求，可承受0.75米跌落冲击。</w:t>
            </w:r>
          </w:p>
          <w:p w14:paraId="6F80D906">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49</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除颤仪可升级与呼吸机、输注泵通过无线方式融合显示在中央站界面。</w:t>
            </w:r>
          </w:p>
          <w:p w14:paraId="3CE34819">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50.</w:t>
            </w:r>
            <w:r>
              <w:rPr>
                <w:rFonts w:hint="eastAsia" w:ascii="宋体" w:hAnsi="宋体" w:eastAsia="宋体" w:cs="宋体"/>
                <w:b w:val="0"/>
                <w:bCs w:val="0"/>
                <w:color w:val="auto"/>
                <w:sz w:val="21"/>
                <w:szCs w:val="21"/>
                <w:highlight w:val="none"/>
              </w:rPr>
              <w:t>除颤仪的报警可升级通过手表实时分发给医护人员，保障患者安全。</w:t>
            </w:r>
          </w:p>
          <w:p w14:paraId="0EE973E2">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三、每套配置包含但不限于：</w:t>
            </w:r>
          </w:p>
          <w:tbl>
            <w:tblPr>
              <w:tblStyle w:val="12"/>
              <w:tblW w:w="7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4774"/>
              <w:gridCol w:w="818"/>
              <w:gridCol w:w="996"/>
            </w:tblGrid>
            <w:tr w14:paraId="24A8D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058" w:type="dxa"/>
                  <w:noWrap w:val="0"/>
                  <w:vAlign w:val="top"/>
                </w:tcPr>
                <w:p w14:paraId="15A8CE23">
                  <w:pPr>
                    <w:spacing w:line="36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4774" w:type="dxa"/>
                  <w:noWrap w:val="0"/>
                  <w:vAlign w:val="top"/>
                </w:tcPr>
                <w:p w14:paraId="76825B31">
                  <w:pPr>
                    <w:spacing w:line="36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货物名称</w:t>
                  </w:r>
                </w:p>
              </w:tc>
              <w:tc>
                <w:tcPr>
                  <w:tcW w:w="818" w:type="dxa"/>
                  <w:noWrap w:val="0"/>
                  <w:vAlign w:val="top"/>
                </w:tcPr>
                <w:p w14:paraId="0763A540">
                  <w:pPr>
                    <w:spacing w:line="36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数量</w:t>
                  </w:r>
                </w:p>
              </w:tc>
              <w:tc>
                <w:tcPr>
                  <w:tcW w:w="996" w:type="dxa"/>
                  <w:noWrap w:val="0"/>
                  <w:vAlign w:val="top"/>
                </w:tcPr>
                <w:p w14:paraId="75F15E02">
                  <w:pPr>
                    <w:spacing w:line="36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单位</w:t>
                  </w:r>
                </w:p>
              </w:tc>
            </w:tr>
            <w:tr w14:paraId="26776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058" w:type="dxa"/>
                  <w:noWrap w:val="0"/>
                  <w:vAlign w:val="top"/>
                </w:tcPr>
                <w:p w14:paraId="3A22A306">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4774" w:type="dxa"/>
                  <w:noWrap w:val="0"/>
                  <w:vAlign w:val="top"/>
                </w:tcPr>
                <w:p w14:paraId="77B7C6CC">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主机（含AED、起搏、心电、血氧、血压）</w:t>
                  </w:r>
                </w:p>
              </w:tc>
              <w:tc>
                <w:tcPr>
                  <w:tcW w:w="818" w:type="dxa"/>
                  <w:noWrap w:val="0"/>
                  <w:vAlign w:val="center"/>
                </w:tcPr>
                <w:p w14:paraId="4F1C814A">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w:t>
                  </w:r>
                </w:p>
              </w:tc>
              <w:tc>
                <w:tcPr>
                  <w:tcW w:w="996" w:type="dxa"/>
                  <w:noWrap w:val="0"/>
                  <w:vAlign w:val="top"/>
                </w:tcPr>
                <w:p w14:paraId="1F01F858">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w:t>
                  </w:r>
                </w:p>
              </w:tc>
            </w:tr>
            <w:tr w14:paraId="498E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058" w:type="dxa"/>
                  <w:noWrap w:val="0"/>
                  <w:vAlign w:val="top"/>
                </w:tcPr>
                <w:p w14:paraId="4A9E51EF">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4774" w:type="dxa"/>
                  <w:noWrap w:val="0"/>
                  <w:vAlign w:val="top"/>
                </w:tcPr>
                <w:p w14:paraId="7AA2B6CB">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国标电源线</w:t>
                  </w:r>
                </w:p>
              </w:tc>
              <w:tc>
                <w:tcPr>
                  <w:tcW w:w="818" w:type="dxa"/>
                  <w:noWrap w:val="0"/>
                  <w:vAlign w:val="center"/>
                </w:tcPr>
                <w:p w14:paraId="050B7BDF">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w:t>
                  </w:r>
                </w:p>
              </w:tc>
              <w:tc>
                <w:tcPr>
                  <w:tcW w:w="996" w:type="dxa"/>
                  <w:noWrap w:val="0"/>
                  <w:vAlign w:val="top"/>
                </w:tcPr>
                <w:p w14:paraId="3148141B">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根</w:t>
                  </w:r>
                </w:p>
              </w:tc>
            </w:tr>
            <w:tr w14:paraId="770F9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top"/>
                </w:tcPr>
                <w:p w14:paraId="1B5A29AB">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4774" w:type="dxa"/>
                  <w:noWrap w:val="0"/>
                  <w:vAlign w:val="top"/>
                </w:tcPr>
                <w:p w14:paraId="4154C77F">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锂电池</w:t>
                  </w:r>
                </w:p>
              </w:tc>
              <w:tc>
                <w:tcPr>
                  <w:tcW w:w="818" w:type="dxa"/>
                  <w:noWrap w:val="0"/>
                  <w:vAlign w:val="center"/>
                </w:tcPr>
                <w:p w14:paraId="4E970D34">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w:t>
                  </w:r>
                </w:p>
              </w:tc>
              <w:tc>
                <w:tcPr>
                  <w:tcW w:w="996" w:type="dxa"/>
                  <w:noWrap w:val="0"/>
                  <w:vAlign w:val="top"/>
                </w:tcPr>
                <w:p w14:paraId="17BF4B61">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块</w:t>
                  </w:r>
                </w:p>
              </w:tc>
            </w:tr>
            <w:tr w14:paraId="61B66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top"/>
                </w:tcPr>
                <w:p w14:paraId="31428541">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4774" w:type="dxa"/>
                  <w:noWrap w:val="0"/>
                  <w:vAlign w:val="top"/>
                </w:tcPr>
                <w:p w14:paraId="60B8197A">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心电导联线</w:t>
                  </w:r>
                </w:p>
              </w:tc>
              <w:tc>
                <w:tcPr>
                  <w:tcW w:w="818" w:type="dxa"/>
                  <w:noWrap w:val="0"/>
                  <w:vAlign w:val="center"/>
                </w:tcPr>
                <w:p w14:paraId="5BB2E381">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w:t>
                  </w:r>
                </w:p>
              </w:tc>
              <w:tc>
                <w:tcPr>
                  <w:tcW w:w="996" w:type="dxa"/>
                  <w:noWrap w:val="0"/>
                  <w:vAlign w:val="top"/>
                </w:tcPr>
                <w:p w14:paraId="3E289E60">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套</w:t>
                  </w:r>
                </w:p>
              </w:tc>
            </w:tr>
            <w:tr w14:paraId="48A1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top"/>
                </w:tcPr>
                <w:p w14:paraId="155C562F">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4774" w:type="dxa"/>
                  <w:noWrap w:val="0"/>
                  <w:vAlign w:val="top"/>
                </w:tcPr>
                <w:p w14:paraId="6ECEE55C">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血氧夹（成人指夹式）</w:t>
                  </w:r>
                </w:p>
              </w:tc>
              <w:tc>
                <w:tcPr>
                  <w:tcW w:w="818" w:type="dxa"/>
                  <w:noWrap w:val="0"/>
                  <w:vAlign w:val="center"/>
                </w:tcPr>
                <w:p w14:paraId="6CB3DE3A">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w:t>
                  </w:r>
                </w:p>
              </w:tc>
              <w:tc>
                <w:tcPr>
                  <w:tcW w:w="996" w:type="dxa"/>
                  <w:noWrap w:val="0"/>
                  <w:vAlign w:val="top"/>
                </w:tcPr>
                <w:p w14:paraId="27C38CE3">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个</w:t>
                  </w:r>
                </w:p>
              </w:tc>
            </w:tr>
            <w:tr w14:paraId="0B0D1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top"/>
                </w:tcPr>
                <w:p w14:paraId="35340C03">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4774" w:type="dxa"/>
                  <w:noWrap w:val="0"/>
                  <w:vAlign w:val="top"/>
                </w:tcPr>
                <w:p w14:paraId="7D6B3F53">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血氧夹（成人指套式）</w:t>
                  </w:r>
                </w:p>
              </w:tc>
              <w:tc>
                <w:tcPr>
                  <w:tcW w:w="818" w:type="dxa"/>
                  <w:noWrap w:val="0"/>
                  <w:vAlign w:val="center"/>
                </w:tcPr>
                <w:p w14:paraId="2D85B491">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996" w:type="dxa"/>
                  <w:noWrap w:val="0"/>
                  <w:vAlign w:val="top"/>
                </w:tcPr>
                <w:p w14:paraId="62FAD665">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个</w:t>
                  </w:r>
                </w:p>
              </w:tc>
            </w:tr>
            <w:tr w14:paraId="7DBF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top"/>
                </w:tcPr>
                <w:p w14:paraId="636EEBAC">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4774" w:type="dxa"/>
                  <w:noWrap w:val="0"/>
                  <w:vAlign w:val="top"/>
                </w:tcPr>
                <w:p w14:paraId="34E01D22">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血氧夹（小儿）</w:t>
                  </w:r>
                </w:p>
              </w:tc>
              <w:tc>
                <w:tcPr>
                  <w:tcW w:w="818" w:type="dxa"/>
                  <w:noWrap w:val="0"/>
                  <w:vAlign w:val="center"/>
                </w:tcPr>
                <w:p w14:paraId="23477D73">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996" w:type="dxa"/>
                  <w:noWrap w:val="0"/>
                  <w:vAlign w:val="top"/>
                </w:tcPr>
                <w:p w14:paraId="12D99654">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个</w:t>
                  </w:r>
                </w:p>
              </w:tc>
            </w:tr>
            <w:tr w14:paraId="0BCC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top"/>
                </w:tcPr>
                <w:p w14:paraId="3A60CC64">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w:t>
                  </w:r>
                </w:p>
              </w:tc>
              <w:tc>
                <w:tcPr>
                  <w:tcW w:w="4774" w:type="dxa"/>
                  <w:noWrap w:val="0"/>
                  <w:vAlign w:val="top"/>
                </w:tcPr>
                <w:p w14:paraId="54A4F67A">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血氧夹（新生儿）</w:t>
                  </w:r>
                </w:p>
              </w:tc>
              <w:tc>
                <w:tcPr>
                  <w:tcW w:w="818" w:type="dxa"/>
                  <w:noWrap w:val="0"/>
                  <w:vAlign w:val="center"/>
                </w:tcPr>
                <w:p w14:paraId="00202D8D">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996" w:type="dxa"/>
                  <w:noWrap w:val="0"/>
                  <w:vAlign w:val="top"/>
                </w:tcPr>
                <w:p w14:paraId="594EB370">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个</w:t>
                  </w:r>
                </w:p>
              </w:tc>
            </w:tr>
            <w:tr w14:paraId="13CF1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top"/>
                </w:tcPr>
                <w:p w14:paraId="2921189A">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w:t>
                  </w:r>
                </w:p>
              </w:tc>
              <w:tc>
                <w:tcPr>
                  <w:tcW w:w="4774" w:type="dxa"/>
                  <w:noWrap w:val="0"/>
                  <w:vAlign w:val="top"/>
                </w:tcPr>
                <w:p w14:paraId="420D7C00">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血压袖套（成人）</w:t>
                  </w:r>
                </w:p>
              </w:tc>
              <w:tc>
                <w:tcPr>
                  <w:tcW w:w="818" w:type="dxa"/>
                  <w:noWrap w:val="0"/>
                  <w:vAlign w:val="center"/>
                </w:tcPr>
                <w:p w14:paraId="49801E4B">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w:t>
                  </w:r>
                </w:p>
              </w:tc>
              <w:tc>
                <w:tcPr>
                  <w:tcW w:w="996" w:type="dxa"/>
                  <w:noWrap w:val="0"/>
                  <w:vAlign w:val="top"/>
                </w:tcPr>
                <w:p w14:paraId="3BAD4732">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个</w:t>
                  </w:r>
                </w:p>
              </w:tc>
            </w:tr>
            <w:tr w14:paraId="689B9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top"/>
                </w:tcPr>
                <w:p w14:paraId="0448A83A">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w:t>
                  </w:r>
                </w:p>
              </w:tc>
              <w:tc>
                <w:tcPr>
                  <w:tcW w:w="4774" w:type="dxa"/>
                  <w:noWrap w:val="0"/>
                  <w:vAlign w:val="top"/>
                </w:tcPr>
                <w:p w14:paraId="457FE05E">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血压袖套（小儿）</w:t>
                  </w:r>
                </w:p>
              </w:tc>
              <w:tc>
                <w:tcPr>
                  <w:tcW w:w="818" w:type="dxa"/>
                  <w:noWrap w:val="0"/>
                  <w:vAlign w:val="center"/>
                </w:tcPr>
                <w:p w14:paraId="73BF9A26">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996" w:type="dxa"/>
                  <w:noWrap w:val="0"/>
                  <w:vAlign w:val="top"/>
                </w:tcPr>
                <w:p w14:paraId="3D0193E6">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个</w:t>
                  </w:r>
                </w:p>
              </w:tc>
            </w:tr>
            <w:tr w14:paraId="39C9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top"/>
                </w:tcPr>
                <w:p w14:paraId="05172D46">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w:t>
                  </w:r>
                </w:p>
              </w:tc>
              <w:tc>
                <w:tcPr>
                  <w:tcW w:w="4774" w:type="dxa"/>
                  <w:noWrap w:val="0"/>
                  <w:vAlign w:val="top"/>
                </w:tcPr>
                <w:p w14:paraId="1DD549EB">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血压袖套（新生儿）</w:t>
                  </w:r>
                </w:p>
              </w:tc>
              <w:tc>
                <w:tcPr>
                  <w:tcW w:w="818" w:type="dxa"/>
                  <w:noWrap w:val="0"/>
                  <w:vAlign w:val="center"/>
                </w:tcPr>
                <w:p w14:paraId="49CE9DBD">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996" w:type="dxa"/>
                  <w:noWrap w:val="0"/>
                  <w:vAlign w:val="top"/>
                </w:tcPr>
                <w:p w14:paraId="7DD094A9">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个</w:t>
                  </w:r>
                </w:p>
              </w:tc>
            </w:tr>
            <w:tr w14:paraId="0095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top"/>
                </w:tcPr>
                <w:p w14:paraId="68240484">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w:t>
                  </w:r>
                </w:p>
              </w:tc>
              <w:tc>
                <w:tcPr>
                  <w:tcW w:w="4774" w:type="dxa"/>
                  <w:noWrap w:val="0"/>
                  <w:vAlign w:val="top"/>
                </w:tcPr>
                <w:p w14:paraId="6FC13E55">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AED电缆</w:t>
                  </w:r>
                </w:p>
              </w:tc>
              <w:tc>
                <w:tcPr>
                  <w:tcW w:w="818" w:type="dxa"/>
                  <w:noWrap w:val="0"/>
                  <w:vAlign w:val="center"/>
                </w:tcPr>
                <w:p w14:paraId="6AB82F55">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w:t>
                  </w:r>
                </w:p>
              </w:tc>
              <w:tc>
                <w:tcPr>
                  <w:tcW w:w="996" w:type="dxa"/>
                  <w:noWrap w:val="0"/>
                  <w:vAlign w:val="top"/>
                </w:tcPr>
                <w:p w14:paraId="1302DDB8">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条</w:t>
                  </w:r>
                </w:p>
              </w:tc>
            </w:tr>
            <w:tr w14:paraId="08548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top"/>
                </w:tcPr>
                <w:p w14:paraId="21C7947B">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w:t>
                  </w:r>
                </w:p>
              </w:tc>
              <w:tc>
                <w:tcPr>
                  <w:tcW w:w="4774" w:type="dxa"/>
                  <w:noWrap w:val="0"/>
                  <w:vAlign w:val="top"/>
                </w:tcPr>
                <w:p w14:paraId="348D7049">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急救培训模式</w:t>
                  </w:r>
                </w:p>
              </w:tc>
              <w:tc>
                <w:tcPr>
                  <w:tcW w:w="818" w:type="dxa"/>
                  <w:noWrap w:val="0"/>
                  <w:vAlign w:val="center"/>
                </w:tcPr>
                <w:p w14:paraId="3518C1E0">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w:t>
                  </w:r>
                </w:p>
              </w:tc>
              <w:tc>
                <w:tcPr>
                  <w:tcW w:w="996" w:type="dxa"/>
                  <w:noWrap w:val="0"/>
                  <w:vAlign w:val="top"/>
                </w:tcPr>
                <w:p w14:paraId="79DF4E8F">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套</w:t>
                  </w:r>
                </w:p>
              </w:tc>
            </w:tr>
            <w:tr w14:paraId="7DE62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top"/>
                </w:tcPr>
                <w:p w14:paraId="1B766237">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14</w:t>
                  </w:r>
                </w:p>
              </w:tc>
              <w:tc>
                <w:tcPr>
                  <w:tcW w:w="4774" w:type="dxa"/>
                  <w:noWrap w:val="0"/>
                  <w:vAlign w:val="top"/>
                </w:tcPr>
                <w:p w14:paraId="418986A6">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体外除颤电极板附件包（弹性线圈）</w:t>
                  </w:r>
                </w:p>
              </w:tc>
              <w:tc>
                <w:tcPr>
                  <w:tcW w:w="818" w:type="dxa"/>
                  <w:noWrap w:val="0"/>
                  <w:vAlign w:val="top"/>
                </w:tcPr>
                <w:p w14:paraId="4ED5B545">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w:t>
                  </w:r>
                </w:p>
              </w:tc>
              <w:tc>
                <w:tcPr>
                  <w:tcW w:w="996" w:type="dxa"/>
                  <w:noWrap w:val="0"/>
                  <w:vAlign w:val="top"/>
                </w:tcPr>
                <w:p w14:paraId="394D75AB">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套</w:t>
                  </w:r>
                </w:p>
              </w:tc>
            </w:tr>
            <w:tr w14:paraId="01CC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top"/>
                </w:tcPr>
                <w:p w14:paraId="3178D64B">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w:t>
                  </w:r>
                </w:p>
              </w:tc>
              <w:tc>
                <w:tcPr>
                  <w:tcW w:w="4774" w:type="dxa"/>
                  <w:noWrap w:val="0"/>
                  <w:vAlign w:val="top"/>
                </w:tcPr>
                <w:p w14:paraId="5FF9F6E1">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使用说明书</w:t>
                  </w:r>
                </w:p>
              </w:tc>
              <w:tc>
                <w:tcPr>
                  <w:tcW w:w="818" w:type="dxa"/>
                  <w:noWrap w:val="0"/>
                  <w:vAlign w:val="top"/>
                </w:tcPr>
                <w:p w14:paraId="080176B0">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w:t>
                  </w:r>
                </w:p>
              </w:tc>
              <w:tc>
                <w:tcPr>
                  <w:tcW w:w="996" w:type="dxa"/>
                  <w:noWrap w:val="0"/>
                  <w:vAlign w:val="top"/>
                </w:tcPr>
                <w:p w14:paraId="3BA50CFB">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套</w:t>
                  </w:r>
                </w:p>
              </w:tc>
            </w:tr>
            <w:tr w14:paraId="3D3D6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top"/>
                </w:tcPr>
                <w:p w14:paraId="3255A56B">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16</w:t>
                  </w:r>
                </w:p>
              </w:tc>
              <w:tc>
                <w:tcPr>
                  <w:tcW w:w="4774" w:type="dxa"/>
                  <w:noWrap w:val="0"/>
                  <w:vAlign w:val="top"/>
                </w:tcPr>
                <w:p w14:paraId="3B494B8A">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设备保修卡</w:t>
                  </w:r>
                </w:p>
              </w:tc>
              <w:tc>
                <w:tcPr>
                  <w:tcW w:w="818" w:type="dxa"/>
                  <w:noWrap w:val="0"/>
                  <w:vAlign w:val="top"/>
                </w:tcPr>
                <w:p w14:paraId="66D6CFDC">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w:t>
                  </w:r>
                </w:p>
              </w:tc>
              <w:tc>
                <w:tcPr>
                  <w:tcW w:w="996" w:type="dxa"/>
                  <w:noWrap w:val="0"/>
                  <w:vAlign w:val="top"/>
                </w:tcPr>
                <w:p w14:paraId="674FA53E">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份</w:t>
                  </w:r>
                </w:p>
              </w:tc>
            </w:tr>
            <w:tr w14:paraId="6C5E9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0" w:type="auto"/>
                  <w:noWrap w:val="0"/>
                  <w:vAlign w:val="top"/>
                </w:tcPr>
                <w:p w14:paraId="4E857645">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17</w:t>
                  </w:r>
                </w:p>
              </w:tc>
              <w:tc>
                <w:tcPr>
                  <w:tcW w:w="0" w:type="auto"/>
                  <w:noWrap w:val="0"/>
                  <w:vAlign w:val="top"/>
                </w:tcPr>
                <w:p w14:paraId="020362BE">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序列号小标贴</w:t>
                  </w:r>
                </w:p>
              </w:tc>
              <w:tc>
                <w:tcPr>
                  <w:tcW w:w="0" w:type="auto"/>
                  <w:noWrap w:val="0"/>
                  <w:vAlign w:val="top"/>
                </w:tcPr>
                <w:p w14:paraId="7E78A46E">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w:t>
                  </w:r>
                </w:p>
              </w:tc>
              <w:tc>
                <w:tcPr>
                  <w:tcW w:w="0" w:type="auto"/>
                  <w:noWrap w:val="0"/>
                  <w:vAlign w:val="top"/>
                </w:tcPr>
                <w:p w14:paraId="0EC039A2">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份</w:t>
                  </w:r>
                </w:p>
              </w:tc>
            </w:tr>
            <w:tr w14:paraId="3A32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0" w:type="auto"/>
                  <w:noWrap w:val="0"/>
                  <w:vAlign w:val="top"/>
                </w:tcPr>
                <w:p w14:paraId="6D498770">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w:t>
                  </w:r>
                </w:p>
              </w:tc>
              <w:tc>
                <w:tcPr>
                  <w:tcW w:w="0" w:type="auto"/>
                  <w:noWrap w:val="0"/>
                  <w:vAlign w:val="top"/>
                </w:tcPr>
                <w:p w14:paraId="5FFF6852">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合格证</w:t>
                  </w:r>
                </w:p>
              </w:tc>
              <w:tc>
                <w:tcPr>
                  <w:tcW w:w="0" w:type="auto"/>
                  <w:noWrap w:val="0"/>
                  <w:vAlign w:val="top"/>
                </w:tcPr>
                <w:p w14:paraId="15AC58C6">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w:t>
                  </w:r>
                </w:p>
              </w:tc>
              <w:tc>
                <w:tcPr>
                  <w:tcW w:w="0" w:type="auto"/>
                  <w:noWrap w:val="0"/>
                  <w:vAlign w:val="top"/>
                </w:tcPr>
                <w:p w14:paraId="10A14A0B">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份</w:t>
                  </w:r>
                </w:p>
              </w:tc>
            </w:tr>
            <w:tr w14:paraId="12637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0" w:type="auto"/>
                  <w:noWrap w:val="0"/>
                  <w:vAlign w:val="top"/>
                </w:tcPr>
                <w:p w14:paraId="2EA60780">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19</w:t>
                  </w:r>
                </w:p>
              </w:tc>
              <w:tc>
                <w:tcPr>
                  <w:tcW w:w="0" w:type="auto"/>
                  <w:noWrap w:val="0"/>
                  <w:vAlign w:val="top"/>
                </w:tcPr>
                <w:p w14:paraId="5516806B">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新生儿体内电极板</w:t>
                  </w:r>
                </w:p>
              </w:tc>
              <w:tc>
                <w:tcPr>
                  <w:tcW w:w="0" w:type="auto"/>
                  <w:noWrap w:val="0"/>
                  <w:vAlign w:val="top"/>
                </w:tcPr>
                <w:p w14:paraId="7ED172FF">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0" w:type="auto"/>
                  <w:noWrap w:val="0"/>
                  <w:vAlign w:val="top"/>
                </w:tcPr>
                <w:p w14:paraId="2A7D6B74">
                  <w:pPr>
                    <w:spacing w:line="36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套</w:t>
                  </w:r>
                </w:p>
              </w:tc>
            </w:tr>
            <w:tr w14:paraId="1420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0" w:type="auto"/>
                  <w:noWrap w:val="0"/>
                  <w:vAlign w:val="top"/>
                </w:tcPr>
                <w:p w14:paraId="4FBDA153">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w:t>
                  </w:r>
                </w:p>
              </w:tc>
              <w:tc>
                <w:tcPr>
                  <w:tcW w:w="0" w:type="auto"/>
                  <w:noWrap w:val="0"/>
                  <w:vAlign w:val="top"/>
                </w:tcPr>
                <w:p w14:paraId="1144C872">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小儿体内电极板</w:t>
                  </w:r>
                </w:p>
              </w:tc>
              <w:tc>
                <w:tcPr>
                  <w:tcW w:w="0" w:type="auto"/>
                  <w:noWrap w:val="0"/>
                  <w:vAlign w:val="top"/>
                </w:tcPr>
                <w:p w14:paraId="48A04295">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0" w:type="auto"/>
                  <w:noWrap w:val="0"/>
                  <w:vAlign w:val="top"/>
                </w:tcPr>
                <w:p w14:paraId="521B8CCC">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套</w:t>
                  </w:r>
                </w:p>
              </w:tc>
            </w:tr>
            <w:tr w14:paraId="764A6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0" w:type="auto"/>
                  <w:noWrap w:val="0"/>
                  <w:vAlign w:val="top"/>
                </w:tcPr>
                <w:p w14:paraId="4EECD600">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21</w:t>
                  </w:r>
                </w:p>
              </w:tc>
              <w:tc>
                <w:tcPr>
                  <w:tcW w:w="0" w:type="auto"/>
                  <w:noWrap w:val="0"/>
                  <w:vAlign w:val="top"/>
                </w:tcPr>
                <w:p w14:paraId="6E309F0C">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成人体内电极板</w:t>
                  </w:r>
                </w:p>
              </w:tc>
              <w:tc>
                <w:tcPr>
                  <w:tcW w:w="0" w:type="auto"/>
                  <w:noWrap w:val="0"/>
                  <w:vAlign w:val="top"/>
                </w:tcPr>
                <w:p w14:paraId="255D0BFE">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0" w:type="auto"/>
                  <w:noWrap w:val="0"/>
                  <w:vAlign w:val="top"/>
                </w:tcPr>
                <w:p w14:paraId="72A661A1">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套</w:t>
                  </w:r>
                </w:p>
              </w:tc>
            </w:tr>
            <w:tr w14:paraId="20534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0" w:type="auto"/>
                  <w:noWrap w:val="0"/>
                  <w:vAlign w:val="top"/>
                </w:tcPr>
                <w:p w14:paraId="3ABDF530">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22</w:t>
                  </w:r>
                </w:p>
              </w:tc>
              <w:tc>
                <w:tcPr>
                  <w:tcW w:w="0" w:type="auto"/>
                  <w:noWrap w:val="0"/>
                  <w:vAlign w:val="top"/>
                </w:tcPr>
                <w:p w14:paraId="70FE8067">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一次性除颤电极片（成人）</w:t>
                  </w:r>
                </w:p>
              </w:tc>
              <w:tc>
                <w:tcPr>
                  <w:tcW w:w="0" w:type="auto"/>
                  <w:noWrap w:val="0"/>
                  <w:vAlign w:val="top"/>
                </w:tcPr>
                <w:p w14:paraId="006048CC">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w:t>
                  </w:r>
                </w:p>
              </w:tc>
              <w:tc>
                <w:tcPr>
                  <w:tcW w:w="0" w:type="auto"/>
                  <w:noWrap w:val="0"/>
                  <w:vAlign w:val="top"/>
                </w:tcPr>
                <w:p w14:paraId="12F8F101">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片</w:t>
                  </w:r>
                </w:p>
              </w:tc>
            </w:tr>
            <w:tr w14:paraId="12DCD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0" w:type="auto"/>
                  <w:noWrap w:val="0"/>
                  <w:vAlign w:val="top"/>
                </w:tcPr>
                <w:p w14:paraId="3F0D818F">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23</w:t>
                  </w:r>
                </w:p>
              </w:tc>
              <w:tc>
                <w:tcPr>
                  <w:tcW w:w="0" w:type="auto"/>
                  <w:noWrap w:val="0"/>
                  <w:vAlign w:val="top"/>
                </w:tcPr>
                <w:p w14:paraId="758E233D">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一次性除颤电极片（小儿）</w:t>
                  </w:r>
                </w:p>
              </w:tc>
              <w:tc>
                <w:tcPr>
                  <w:tcW w:w="0" w:type="auto"/>
                  <w:noWrap w:val="0"/>
                  <w:vAlign w:val="top"/>
                </w:tcPr>
                <w:p w14:paraId="05E9DBFF">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w:t>
                  </w:r>
                </w:p>
              </w:tc>
              <w:tc>
                <w:tcPr>
                  <w:tcW w:w="0" w:type="auto"/>
                  <w:noWrap w:val="0"/>
                  <w:vAlign w:val="top"/>
                </w:tcPr>
                <w:p w14:paraId="21F77B88">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片</w:t>
                  </w:r>
                </w:p>
              </w:tc>
            </w:tr>
          </w:tbl>
          <w:p w14:paraId="6CEB4E15">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highlight w:val="none"/>
              </w:rPr>
            </w:pPr>
          </w:p>
          <w:p w14:paraId="335CE4A9">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highlight w:val="none"/>
              </w:rPr>
            </w:pPr>
          </w:p>
          <w:p w14:paraId="18425D13">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注：1.以技术（参数）要求序号最细的（如</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与1.之间，1.为最细序号）作为一项参数。</w:t>
            </w:r>
          </w:p>
          <w:p w14:paraId="5590B697">
            <w:pPr>
              <w:pStyle w:val="17"/>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2.投标人应对“2.技术标准与要求”中的各个条款在投标文件格式的《技术和服务要求响应表》中作出响应。</w:t>
            </w:r>
          </w:p>
        </w:tc>
      </w:tr>
      <w:tr w14:paraId="7BE1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491" w:type="dxa"/>
            <w:noWrap w:val="0"/>
            <w:vAlign w:val="center"/>
          </w:tcPr>
          <w:p w14:paraId="54BB13F6">
            <w:pPr>
              <w:keepNext/>
              <w:keepLines/>
              <w:adjustRightInd w:val="0"/>
              <w:spacing w:line="360" w:lineRule="auto"/>
              <w:jc w:val="center"/>
              <w:textAlignment w:val="baseline"/>
              <w:outlineLvl w:val="1"/>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说明</w:t>
            </w:r>
          </w:p>
        </w:tc>
        <w:tc>
          <w:tcPr>
            <w:tcW w:w="8904" w:type="dxa"/>
            <w:gridSpan w:val="2"/>
            <w:noWrap w:val="0"/>
            <w:vAlign w:val="center"/>
          </w:tcPr>
          <w:p w14:paraId="5962A5EF">
            <w:pPr>
              <w:keepNext/>
              <w:keepLines/>
              <w:adjustRightInd w:val="0"/>
              <w:spacing w:line="360" w:lineRule="auto"/>
              <w:jc w:val="left"/>
              <w:textAlignment w:val="baseline"/>
              <w:outlineLvl w:val="1"/>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打“★”号条款为实质性条款，若有任何一条负偏离或不满足则导致投标（响应）无效。</w:t>
            </w:r>
          </w:p>
          <w:p w14:paraId="4A0353F7">
            <w:pPr>
              <w:keepNext/>
              <w:keepLines/>
              <w:adjustRightInd w:val="0"/>
              <w:spacing w:line="360" w:lineRule="auto"/>
              <w:jc w:val="left"/>
              <w:textAlignment w:val="baseline"/>
              <w:outlineLvl w:val="1"/>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打“▲”号条款为重要技术参数（如有），若有部分“▲”条款未响应或不满足，将根据评审要求影响其得分，但不作为无效投标（响应）条款。</w:t>
            </w:r>
          </w:p>
        </w:tc>
      </w:tr>
    </w:tbl>
    <w:p w14:paraId="7AE8613E">
      <w:pPr>
        <w:pStyle w:val="9"/>
        <w:spacing w:line="360" w:lineRule="auto"/>
        <w:jc w:val="left"/>
        <w:rPr>
          <w:rFonts w:hint="eastAsia" w:ascii="宋体" w:hAnsi="宋体" w:eastAsia="宋体" w:cs="宋体"/>
          <w:color w:val="auto"/>
          <w:sz w:val="24"/>
          <w:szCs w:val="24"/>
          <w:highlight w:val="none"/>
        </w:rPr>
      </w:pPr>
    </w:p>
    <w:p w14:paraId="568CC62E">
      <w:pPr>
        <w:keepNext/>
        <w:keepLines/>
        <w:adjustRightInd w:val="0"/>
        <w:spacing w:line="360" w:lineRule="auto"/>
        <w:jc w:val="left"/>
        <w:textAlignment w:val="baseline"/>
        <w:outlineLvl w:val="1"/>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rPr>
        <w:t>附</w:t>
      </w:r>
      <w:r>
        <w:rPr>
          <w:rFonts w:hint="eastAsia" w:ascii="宋体" w:hAnsi="宋体" w:eastAsia="宋体" w:cs="宋体"/>
          <w:b/>
          <w:bCs w:val="0"/>
          <w:color w:val="auto"/>
          <w:kern w:val="0"/>
          <w:sz w:val="24"/>
          <w:szCs w:val="24"/>
          <w:highlight w:val="none"/>
        </w:rPr>
        <w:t>表</w:t>
      </w:r>
      <w:r>
        <w:rPr>
          <w:rFonts w:hint="eastAsia" w:ascii="宋体" w:hAnsi="宋体" w:eastAsia="宋体" w:cs="宋体"/>
          <w:b/>
          <w:bCs w:val="0"/>
          <w:color w:val="auto"/>
          <w:kern w:val="0"/>
          <w:sz w:val="24"/>
          <w:szCs w:val="24"/>
          <w:highlight w:val="none"/>
          <w:lang w:val="en-US" w:eastAsia="zh-CN"/>
        </w:rPr>
        <w:t>二</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eastAsia="zh-CN"/>
        </w:rPr>
        <w:t>呼吸湿化治疗仪</w:t>
      </w:r>
    </w:p>
    <w:tbl>
      <w:tblPr>
        <w:tblStyle w:val="12"/>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450"/>
        <w:gridCol w:w="8454"/>
      </w:tblGrid>
      <w:tr w14:paraId="3D727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491" w:type="dxa"/>
            <w:shd w:val="clear" w:color="auto" w:fill="EEECE1"/>
            <w:noWrap w:val="0"/>
            <w:vAlign w:val="center"/>
          </w:tcPr>
          <w:p w14:paraId="14EF6EF2">
            <w:pPr>
              <w:keepNext/>
              <w:keepLines/>
              <w:adjustRightInd w:val="0"/>
              <w:spacing w:line="360" w:lineRule="auto"/>
              <w:jc w:val="center"/>
              <w:textAlignment w:val="baseline"/>
              <w:outlineLvl w:val="1"/>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参数性质</w:t>
            </w:r>
          </w:p>
        </w:tc>
        <w:tc>
          <w:tcPr>
            <w:tcW w:w="450" w:type="dxa"/>
            <w:shd w:val="clear" w:color="auto" w:fill="EEECE1"/>
            <w:noWrap w:val="0"/>
            <w:vAlign w:val="center"/>
          </w:tcPr>
          <w:p w14:paraId="7DCDF4AC">
            <w:pPr>
              <w:keepNext/>
              <w:keepLines/>
              <w:adjustRightInd w:val="0"/>
              <w:spacing w:line="360" w:lineRule="auto"/>
              <w:jc w:val="center"/>
              <w:textAlignment w:val="baseline"/>
              <w:outlineLvl w:val="1"/>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8454" w:type="dxa"/>
            <w:shd w:val="clear" w:color="auto" w:fill="EEECE1"/>
            <w:noWrap w:val="0"/>
            <w:vAlign w:val="center"/>
          </w:tcPr>
          <w:p w14:paraId="4B1AB485">
            <w:pPr>
              <w:keepNext/>
              <w:keepLines/>
              <w:adjustRightInd w:val="0"/>
              <w:spacing w:line="360" w:lineRule="auto"/>
              <w:jc w:val="center"/>
              <w:textAlignment w:val="baseline"/>
              <w:outlineLvl w:val="1"/>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具体技术（参数）要求</w:t>
            </w:r>
          </w:p>
        </w:tc>
      </w:tr>
      <w:tr w14:paraId="6BAC1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noWrap w:val="0"/>
            <w:vAlign w:val="center"/>
          </w:tcPr>
          <w:p w14:paraId="2EC1C1A0">
            <w:pPr>
              <w:keepNext/>
              <w:keepLines/>
              <w:adjustRightInd w:val="0"/>
              <w:spacing w:line="360" w:lineRule="auto"/>
              <w:jc w:val="center"/>
              <w:textAlignment w:val="baseline"/>
              <w:rPr>
                <w:rFonts w:hint="eastAsia" w:ascii="宋体" w:hAnsi="宋体" w:eastAsia="宋体" w:cs="宋体"/>
                <w:bCs/>
                <w:color w:val="auto"/>
                <w:kern w:val="0"/>
                <w:szCs w:val="21"/>
                <w:highlight w:val="none"/>
              </w:rPr>
            </w:pPr>
          </w:p>
        </w:tc>
        <w:tc>
          <w:tcPr>
            <w:tcW w:w="450" w:type="dxa"/>
            <w:noWrap w:val="0"/>
            <w:vAlign w:val="center"/>
          </w:tcPr>
          <w:p w14:paraId="2F1A8F7C">
            <w:pPr>
              <w:keepNext/>
              <w:keepLines/>
              <w:adjustRightInd w:val="0"/>
              <w:spacing w:line="360" w:lineRule="auto"/>
              <w:jc w:val="center"/>
              <w:textAlignment w:val="baseline"/>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w:t>
            </w:r>
          </w:p>
        </w:tc>
        <w:tc>
          <w:tcPr>
            <w:tcW w:w="8454" w:type="dxa"/>
            <w:noWrap w:val="0"/>
            <w:vAlign w:val="bottom"/>
          </w:tcPr>
          <w:p w14:paraId="2E855ABF">
            <w:pPr>
              <w:pStyle w:val="16"/>
              <w:keepNext w:val="0"/>
              <w:keepLines w:val="0"/>
              <w:pageBreakBefore w:val="0"/>
              <w:numPr>
                <w:ilvl w:val="0"/>
                <w:numId w:val="0"/>
              </w:numPr>
              <w:kinsoku/>
              <w:wordWrap/>
              <w:overflowPunct/>
              <w:topLinePunct w:val="0"/>
              <w:autoSpaceDE/>
              <w:autoSpaceDN/>
              <w:bidi w:val="0"/>
              <w:adjustRightInd/>
              <w:snapToGrid/>
              <w:spacing w:line="360" w:lineRule="auto"/>
              <w:ind w:left="0" w:firstLine="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★一、产品要求：投标产品须为具有《医疗器械注册证》的产品。（提供《医疗器械注册证》并加盖投标人公章）</w:t>
            </w:r>
          </w:p>
          <w:p w14:paraId="2B3F59AA">
            <w:pPr>
              <w:pStyle w:val="1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val="0"/>
                <w:color w:val="auto"/>
                <w:kern w:val="2"/>
                <w:sz w:val="21"/>
                <w:szCs w:val="21"/>
                <w:highlight w:val="none"/>
                <w:lang w:val="en-US" w:eastAsia="zh-CN" w:bidi="ar-SA"/>
              </w:rPr>
              <w:t>二、</w:t>
            </w:r>
            <w:r>
              <w:rPr>
                <w:rFonts w:hint="eastAsia" w:ascii="宋体" w:hAnsi="宋体" w:eastAsia="宋体" w:cs="宋体"/>
                <w:b/>
                <w:color w:val="auto"/>
                <w:sz w:val="21"/>
                <w:szCs w:val="21"/>
                <w:highlight w:val="none"/>
              </w:rPr>
              <w:t>主要技术参数：</w:t>
            </w:r>
          </w:p>
          <w:p w14:paraId="561824A7">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1.适用范围：适用于有自主通气并需要辅助呼吸治疗和需实行气道保护策略的患者 (包括气管切开患者)。</w:t>
            </w:r>
          </w:p>
          <w:p w14:paraId="7960FB6F">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2.模式：成人模式、儿童模式。</w:t>
            </w:r>
          </w:p>
          <w:p w14:paraId="2837AD74">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3.病人连接界面：</w:t>
            </w:r>
          </w:p>
          <w:p w14:paraId="4F650B6B">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连接管：人工气道、面罩；</w:t>
            </w:r>
          </w:p>
          <w:p w14:paraId="02BECA7D">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鼻塞：成人具有小号、中号，大号可选，儿童具有儿童专用鼻塞</w:t>
            </w:r>
          </w:p>
          <w:p w14:paraId="615903FD">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4．病人界面连接管具有透水不透气性能，最大限度减少液态冷凝水</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需要提供证明文件</w:t>
            </w:r>
            <w:r>
              <w:rPr>
                <w:rFonts w:hint="eastAsia" w:ascii="宋体" w:hAnsi="宋体" w:eastAsia="宋体" w:cs="宋体"/>
                <w:b w:val="0"/>
                <w:bCs w:val="0"/>
                <w:color w:val="auto"/>
                <w:sz w:val="21"/>
                <w:szCs w:val="21"/>
                <w:highlight w:val="none"/>
              </w:rPr>
              <w:t>并</w:t>
            </w:r>
            <w:r>
              <w:rPr>
                <w:rFonts w:hint="eastAsia" w:ascii="宋体" w:hAnsi="宋体" w:eastAsia="宋体" w:cs="宋体"/>
                <w:b w:val="0"/>
                <w:bCs w:val="0"/>
                <w:color w:val="auto"/>
                <w:sz w:val="21"/>
                <w:szCs w:val="21"/>
                <w:highlight w:val="none"/>
                <w:lang w:val="en-US" w:eastAsia="zh-CN"/>
              </w:rPr>
              <w:t>加</w:t>
            </w:r>
            <w:r>
              <w:rPr>
                <w:rFonts w:hint="eastAsia" w:ascii="宋体" w:hAnsi="宋体" w:eastAsia="宋体" w:cs="宋体"/>
                <w:b w:val="0"/>
                <w:bCs w:val="0"/>
                <w:color w:val="auto"/>
                <w:sz w:val="21"/>
                <w:szCs w:val="21"/>
                <w:highlight w:val="none"/>
              </w:rPr>
              <w:t>盖</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公章</w:t>
            </w:r>
            <w:r>
              <w:rPr>
                <w:rFonts w:hint="eastAsia" w:ascii="宋体" w:hAnsi="宋体" w:eastAsia="宋体" w:cs="宋体"/>
                <w:b w:val="0"/>
                <w:bCs w:val="0"/>
                <w:color w:val="auto"/>
                <w:sz w:val="21"/>
                <w:szCs w:val="21"/>
                <w:highlight w:val="none"/>
                <w:lang w:eastAsia="zh-CN"/>
              </w:rPr>
              <w:t>）</w:t>
            </w:r>
          </w:p>
          <w:p w14:paraId="6C96D810">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5.具有与主机适配的耗材，包括管路、湿化水罐、病人界面等（提供注册检验时机器与管路、水罐的整机连接图片，及检验报告等相关证明文件</w:t>
            </w:r>
            <w:r>
              <w:rPr>
                <w:rFonts w:hint="eastAsia" w:ascii="宋体" w:hAnsi="宋体" w:eastAsia="宋体" w:cs="宋体"/>
                <w:b w:val="0"/>
                <w:bCs w:val="0"/>
                <w:color w:val="auto"/>
                <w:sz w:val="21"/>
                <w:szCs w:val="21"/>
                <w:highlight w:val="none"/>
              </w:rPr>
              <w:t>并</w:t>
            </w:r>
            <w:r>
              <w:rPr>
                <w:rFonts w:hint="eastAsia" w:ascii="宋体" w:hAnsi="宋体" w:eastAsia="宋体" w:cs="宋体"/>
                <w:b w:val="0"/>
                <w:bCs w:val="0"/>
                <w:color w:val="auto"/>
                <w:sz w:val="21"/>
                <w:szCs w:val="21"/>
                <w:highlight w:val="none"/>
                <w:lang w:val="en-US" w:eastAsia="zh-CN"/>
              </w:rPr>
              <w:t>加</w:t>
            </w:r>
            <w:r>
              <w:rPr>
                <w:rFonts w:hint="eastAsia" w:ascii="宋体" w:hAnsi="宋体" w:eastAsia="宋体" w:cs="宋体"/>
                <w:b w:val="0"/>
                <w:bCs w:val="0"/>
                <w:color w:val="auto"/>
                <w:sz w:val="21"/>
                <w:szCs w:val="21"/>
                <w:highlight w:val="none"/>
              </w:rPr>
              <w:t>盖</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公章</w:t>
            </w:r>
            <w:r>
              <w:rPr>
                <w:rFonts w:hint="eastAsia" w:ascii="宋体" w:hAnsi="宋体" w:eastAsia="宋体" w:cs="宋体"/>
                <w:b w:val="0"/>
                <w:bCs w:val="0"/>
                <w:color w:val="auto"/>
                <w:sz w:val="21"/>
                <w:szCs w:val="21"/>
                <w:highlight w:val="none"/>
              </w:rPr>
              <w:t>）</w:t>
            </w:r>
          </w:p>
          <w:p w14:paraId="43CF51B3">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 主机具有气体细菌、病毒过滤功能（提供相关证明文件</w:t>
            </w:r>
            <w:r>
              <w:rPr>
                <w:rFonts w:hint="eastAsia" w:ascii="宋体" w:hAnsi="宋体" w:eastAsia="宋体" w:cs="宋体"/>
                <w:b w:val="0"/>
                <w:bCs w:val="0"/>
                <w:color w:val="auto"/>
                <w:sz w:val="21"/>
                <w:szCs w:val="21"/>
                <w:highlight w:val="none"/>
              </w:rPr>
              <w:t>并</w:t>
            </w:r>
            <w:r>
              <w:rPr>
                <w:rFonts w:hint="eastAsia" w:ascii="宋体" w:hAnsi="宋体" w:eastAsia="宋体" w:cs="宋体"/>
                <w:b w:val="0"/>
                <w:bCs w:val="0"/>
                <w:color w:val="auto"/>
                <w:sz w:val="21"/>
                <w:szCs w:val="21"/>
                <w:highlight w:val="none"/>
                <w:lang w:val="en-US" w:eastAsia="zh-CN"/>
              </w:rPr>
              <w:t>加</w:t>
            </w:r>
            <w:r>
              <w:rPr>
                <w:rFonts w:hint="eastAsia" w:ascii="宋体" w:hAnsi="宋体" w:eastAsia="宋体" w:cs="宋体"/>
                <w:b w:val="0"/>
                <w:bCs w:val="0"/>
                <w:color w:val="auto"/>
                <w:sz w:val="21"/>
                <w:szCs w:val="21"/>
                <w:highlight w:val="none"/>
              </w:rPr>
              <w:t>盖</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公章</w:t>
            </w:r>
            <w:r>
              <w:rPr>
                <w:rFonts w:hint="eastAsia" w:ascii="宋体" w:hAnsi="宋体" w:eastAsia="宋体" w:cs="宋体"/>
                <w:b w:val="0"/>
                <w:bCs w:val="0"/>
                <w:color w:val="auto"/>
                <w:sz w:val="21"/>
                <w:szCs w:val="21"/>
                <w:highlight w:val="none"/>
              </w:rPr>
              <w:t>）</w:t>
            </w:r>
          </w:p>
          <w:p w14:paraId="04F91CB9">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 主机内置消毒功能，标准配套专用消毒管路（提供相关证明文件</w:t>
            </w:r>
            <w:r>
              <w:rPr>
                <w:rFonts w:hint="eastAsia" w:ascii="宋体" w:hAnsi="宋体" w:eastAsia="宋体" w:cs="宋体"/>
                <w:b w:val="0"/>
                <w:bCs w:val="0"/>
                <w:color w:val="auto"/>
                <w:sz w:val="21"/>
                <w:szCs w:val="21"/>
                <w:highlight w:val="none"/>
              </w:rPr>
              <w:t>并</w:t>
            </w:r>
            <w:r>
              <w:rPr>
                <w:rFonts w:hint="eastAsia" w:ascii="宋体" w:hAnsi="宋体" w:eastAsia="宋体" w:cs="宋体"/>
                <w:b w:val="0"/>
                <w:bCs w:val="0"/>
                <w:color w:val="auto"/>
                <w:sz w:val="21"/>
                <w:szCs w:val="21"/>
                <w:highlight w:val="none"/>
                <w:lang w:val="en-US" w:eastAsia="zh-CN"/>
              </w:rPr>
              <w:t>加</w:t>
            </w:r>
            <w:r>
              <w:rPr>
                <w:rFonts w:hint="eastAsia" w:ascii="宋体" w:hAnsi="宋体" w:eastAsia="宋体" w:cs="宋体"/>
                <w:b w:val="0"/>
                <w:bCs w:val="0"/>
                <w:color w:val="auto"/>
                <w:sz w:val="21"/>
                <w:szCs w:val="21"/>
                <w:highlight w:val="none"/>
              </w:rPr>
              <w:t>盖</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公章</w:t>
            </w:r>
            <w:r>
              <w:rPr>
                <w:rFonts w:hint="eastAsia" w:ascii="宋体" w:hAnsi="宋体" w:eastAsia="宋体" w:cs="宋体"/>
                <w:b w:val="0"/>
                <w:bCs w:val="0"/>
                <w:color w:val="auto"/>
                <w:sz w:val="21"/>
                <w:szCs w:val="21"/>
                <w:highlight w:val="none"/>
              </w:rPr>
              <w:t>）</w:t>
            </w:r>
          </w:p>
          <w:p w14:paraId="1BA4931D">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 流量设置范围：2 - 50升/分。</w:t>
            </w:r>
          </w:p>
          <w:p w14:paraId="49D0185D">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 流量调节方式，精准调节：每次调节1~2升/分，快速调节：每次调节4~6升/分。</w:t>
            </w:r>
          </w:p>
          <w:p w14:paraId="1E0FF46D">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 具备氧浓度调节与监测：氧浓度调节监测范围20-100%。</w:t>
            </w:r>
          </w:p>
          <w:p w14:paraId="40D60938">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 内置涡轮技术：无需空压机，无气源也可独立工作。</w:t>
            </w:r>
          </w:p>
          <w:p w14:paraId="511AE4A2">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 气体温湿度设置：正常使用时需要气体温度接近人体温度</w:t>
            </w:r>
          </w:p>
          <w:p w14:paraId="20F0449B">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13. 主机具有设置锁定功能，防止误操作更改参数。</w:t>
            </w:r>
          </w:p>
          <w:p w14:paraId="1CE046EA">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14. 提供自动注水双浮子湿化水罐（提供证明文件</w:t>
            </w:r>
            <w:r>
              <w:rPr>
                <w:rFonts w:hint="eastAsia" w:ascii="宋体" w:hAnsi="宋体" w:eastAsia="宋体" w:cs="宋体"/>
                <w:b w:val="0"/>
                <w:bCs w:val="0"/>
                <w:color w:val="auto"/>
                <w:sz w:val="21"/>
                <w:szCs w:val="21"/>
                <w:highlight w:val="none"/>
              </w:rPr>
              <w:t>并</w:t>
            </w:r>
            <w:r>
              <w:rPr>
                <w:rFonts w:hint="eastAsia" w:ascii="宋体" w:hAnsi="宋体" w:eastAsia="宋体" w:cs="宋体"/>
                <w:b w:val="0"/>
                <w:bCs w:val="0"/>
                <w:color w:val="auto"/>
                <w:sz w:val="21"/>
                <w:szCs w:val="21"/>
                <w:highlight w:val="none"/>
                <w:lang w:val="en-US" w:eastAsia="zh-CN"/>
              </w:rPr>
              <w:t>加</w:t>
            </w:r>
            <w:r>
              <w:rPr>
                <w:rFonts w:hint="eastAsia" w:ascii="宋体" w:hAnsi="宋体" w:eastAsia="宋体" w:cs="宋体"/>
                <w:b w:val="0"/>
                <w:bCs w:val="0"/>
                <w:color w:val="auto"/>
                <w:sz w:val="21"/>
                <w:szCs w:val="21"/>
                <w:highlight w:val="none"/>
              </w:rPr>
              <w:t>盖</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公章</w:t>
            </w:r>
            <w:r>
              <w:rPr>
                <w:rFonts w:hint="eastAsia" w:ascii="宋体" w:hAnsi="宋体" w:eastAsia="宋体" w:cs="宋体"/>
                <w:b w:val="0"/>
                <w:bCs w:val="0"/>
                <w:color w:val="auto"/>
                <w:sz w:val="21"/>
                <w:szCs w:val="21"/>
                <w:highlight w:val="none"/>
              </w:rPr>
              <w:t>）。</w:t>
            </w:r>
          </w:p>
          <w:p w14:paraId="05665217">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15. 同一品牌管路预置具有管壁加热、保温技术，同时具有加热和监测功能。</w:t>
            </w:r>
          </w:p>
          <w:p w14:paraId="7600054D">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16. 主机可显示设置参数及实时监测参数：气体流速，气体温度，气体氧浓度等。</w:t>
            </w:r>
          </w:p>
          <w:p w14:paraId="1B0CA8B3">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17. 主机具有报警功能：</w:t>
            </w:r>
          </w:p>
          <w:p w14:paraId="3434BC80">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呼吸管路连接异常，漏气，堵塞，氧浓度过高或过低，无法达到目标流量，水罐水量，无法达到目标温度，工作条件不合适，断电报警等。</w:t>
            </w:r>
          </w:p>
          <w:p w14:paraId="7D87289F">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18. 报警状态按照优先级别反应。影响氧气输送和湿度输送的报警应立刻做出反应。</w:t>
            </w:r>
          </w:p>
          <w:p w14:paraId="647EDBE8">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19. 连接氧气的高压氧管带有导电性能，以防止氧气接头连接时火花产生的风险（提供相关证明文件</w:t>
            </w:r>
            <w:r>
              <w:rPr>
                <w:rFonts w:hint="eastAsia" w:ascii="宋体" w:hAnsi="宋体" w:eastAsia="宋体" w:cs="宋体"/>
                <w:b w:val="0"/>
                <w:bCs w:val="0"/>
                <w:color w:val="auto"/>
                <w:sz w:val="21"/>
                <w:szCs w:val="21"/>
                <w:highlight w:val="none"/>
              </w:rPr>
              <w:t>并</w:t>
            </w:r>
            <w:r>
              <w:rPr>
                <w:rFonts w:hint="eastAsia" w:ascii="宋体" w:hAnsi="宋体" w:eastAsia="宋体" w:cs="宋体"/>
                <w:b w:val="0"/>
                <w:bCs w:val="0"/>
                <w:color w:val="auto"/>
                <w:sz w:val="21"/>
                <w:szCs w:val="21"/>
                <w:highlight w:val="none"/>
                <w:lang w:val="en-US" w:eastAsia="zh-CN"/>
              </w:rPr>
              <w:t>加</w:t>
            </w:r>
            <w:r>
              <w:rPr>
                <w:rFonts w:hint="eastAsia" w:ascii="宋体" w:hAnsi="宋体" w:eastAsia="宋体" w:cs="宋体"/>
                <w:b w:val="0"/>
                <w:bCs w:val="0"/>
                <w:color w:val="auto"/>
                <w:sz w:val="21"/>
                <w:szCs w:val="21"/>
                <w:highlight w:val="none"/>
              </w:rPr>
              <w:t>盖</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公章</w:t>
            </w:r>
            <w:r>
              <w:rPr>
                <w:rFonts w:hint="eastAsia" w:ascii="宋体" w:hAnsi="宋体" w:eastAsia="宋体" w:cs="宋体"/>
                <w:b w:val="0"/>
                <w:bCs w:val="0"/>
                <w:color w:val="auto"/>
                <w:sz w:val="21"/>
                <w:szCs w:val="21"/>
                <w:highlight w:val="none"/>
              </w:rPr>
              <w:t>）。</w:t>
            </w:r>
          </w:p>
          <w:p w14:paraId="52513EAA">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rPr>
              <w:t>三、每套配置包含但不限于：</w:t>
            </w:r>
          </w:p>
          <w:tbl>
            <w:tblPr>
              <w:tblStyle w:val="12"/>
              <w:tblW w:w="7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4774"/>
              <w:gridCol w:w="818"/>
              <w:gridCol w:w="996"/>
            </w:tblGrid>
            <w:tr w14:paraId="3114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058" w:type="dxa"/>
                  <w:noWrap w:val="0"/>
                  <w:vAlign w:val="top"/>
                </w:tcPr>
                <w:p w14:paraId="0F609499">
                  <w:pPr>
                    <w:spacing w:line="36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4774" w:type="dxa"/>
                  <w:noWrap w:val="0"/>
                  <w:vAlign w:val="top"/>
                </w:tcPr>
                <w:p w14:paraId="0CB99294">
                  <w:pPr>
                    <w:spacing w:line="36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货物名称</w:t>
                  </w:r>
                </w:p>
              </w:tc>
              <w:tc>
                <w:tcPr>
                  <w:tcW w:w="818" w:type="dxa"/>
                  <w:noWrap w:val="0"/>
                  <w:vAlign w:val="top"/>
                </w:tcPr>
                <w:p w14:paraId="41813654">
                  <w:pPr>
                    <w:spacing w:line="36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数量</w:t>
                  </w:r>
                </w:p>
              </w:tc>
              <w:tc>
                <w:tcPr>
                  <w:tcW w:w="996" w:type="dxa"/>
                  <w:noWrap w:val="0"/>
                  <w:vAlign w:val="top"/>
                </w:tcPr>
                <w:p w14:paraId="3687F488">
                  <w:pPr>
                    <w:spacing w:line="36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单位</w:t>
                  </w:r>
                </w:p>
              </w:tc>
            </w:tr>
            <w:tr w14:paraId="5A9D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058" w:type="dxa"/>
                  <w:noWrap w:val="0"/>
                  <w:vAlign w:val="top"/>
                </w:tcPr>
                <w:p w14:paraId="44178882">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4774" w:type="dxa"/>
                  <w:noWrap w:val="0"/>
                  <w:vAlign w:val="top"/>
                </w:tcPr>
                <w:p w14:paraId="71395229">
                  <w:pPr>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主机</w:t>
                  </w:r>
                </w:p>
              </w:tc>
              <w:tc>
                <w:tcPr>
                  <w:tcW w:w="818" w:type="dxa"/>
                  <w:noWrap w:val="0"/>
                  <w:vAlign w:val="center"/>
                </w:tcPr>
                <w:p w14:paraId="3FE095D6">
                  <w:pPr>
                    <w:keepNext w:val="0"/>
                    <w:keepLines w:val="0"/>
                    <w:widowControl/>
                    <w:suppressLineNumbers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996" w:type="dxa"/>
                  <w:noWrap w:val="0"/>
                  <w:vAlign w:val="center"/>
                </w:tcPr>
                <w:p w14:paraId="4D835A09">
                  <w:pPr>
                    <w:keepNext w:val="0"/>
                    <w:keepLines w:val="0"/>
                    <w:widowControl/>
                    <w:suppressLineNumbers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台</w:t>
                  </w:r>
                </w:p>
              </w:tc>
            </w:tr>
            <w:tr w14:paraId="3BB92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058" w:type="dxa"/>
                  <w:noWrap w:val="0"/>
                  <w:vAlign w:val="top"/>
                </w:tcPr>
                <w:p w14:paraId="73EF7E11">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4774" w:type="dxa"/>
                  <w:noWrap w:val="0"/>
                  <w:vAlign w:val="center"/>
                </w:tcPr>
                <w:p w14:paraId="4D2A9FAD">
                  <w:pPr>
                    <w:keepNext w:val="0"/>
                    <w:keepLines w:val="0"/>
                    <w:widowControl/>
                    <w:suppressLineNumbers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支架</w:t>
                  </w:r>
                </w:p>
              </w:tc>
              <w:tc>
                <w:tcPr>
                  <w:tcW w:w="818" w:type="dxa"/>
                  <w:noWrap w:val="0"/>
                  <w:vAlign w:val="center"/>
                </w:tcPr>
                <w:p w14:paraId="2A9E3C7E">
                  <w:pPr>
                    <w:keepNext w:val="0"/>
                    <w:keepLines w:val="0"/>
                    <w:widowControl/>
                    <w:suppressLineNumbers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996" w:type="dxa"/>
                  <w:noWrap w:val="0"/>
                  <w:vAlign w:val="center"/>
                </w:tcPr>
                <w:p w14:paraId="72271817">
                  <w:pPr>
                    <w:keepNext w:val="0"/>
                    <w:keepLines w:val="0"/>
                    <w:widowControl/>
                    <w:suppressLineNumbers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r>
            <w:tr w14:paraId="53EF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top"/>
                </w:tcPr>
                <w:p w14:paraId="21BA893B">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4774" w:type="dxa"/>
                  <w:noWrap w:val="0"/>
                  <w:vAlign w:val="center"/>
                </w:tcPr>
                <w:p w14:paraId="351338CA">
                  <w:pPr>
                    <w:keepNext w:val="0"/>
                    <w:keepLines w:val="0"/>
                    <w:widowControl/>
                    <w:suppressLineNumbers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托盘</w:t>
                  </w:r>
                </w:p>
              </w:tc>
              <w:tc>
                <w:tcPr>
                  <w:tcW w:w="818" w:type="dxa"/>
                  <w:noWrap w:val="0"/>
                  <w:vAlign w:val="center"/>
                </w:tcPr>
                <w:p w14:paraId="1050D326">
                  <w:pPr>
                    <w:keepNext w:val="0"/>
                    <w:keepLines w:val="0"/>
                    <w:widowControl/>
                    <w:suppressLineNumbers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996" w:type="dxa"/>
                  <w:noWrap w:val="0"/>
                  <w:vAlign w:val="center"/>
                </w:tcPr>
                <w:p w14:paraId="2D0A014B">
                  <w:pPr>
                    <w:keepNext w:val="0"/>
                    <w:keepLines w:val="0"/>
                    <w:widowControl/>
                    <w:suppressLineNumbers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个</w:t>
                  </w:r>
                </w:p>
              </w:tc>
            </w:tr>
            <w:tr w14:paraId="75556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top"/>
                </w:tcPr>
                <w:p w14:paraId="667A3BED">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4774" w:type="dxa"/>
                  <w:noWrap w:val="0"/>
                  <w:vAlign w:val="center"/>
                </w:tcPr>
                <w:p w14:paraId="49288EDA">
                  <w:pPr>
                    <w:keepNext w:val="0"/>
                    <w:keepLines w:val="0"/>
                    <w:widowControl/>
                    <w:suppressLineNumbers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塑料篓</w:t>
                  </w:r>
                </w:p>
              </w:tc>
              <w:tc>
                <w:tcPr>
                  <w:tcW w:w="818" w:type="dxa"/>
                  <w:noWrap w:val="0"/>
                  <w:vAlign w:val="center"/>
                </w:tcPr>
                <w:p w14:paraId="689570F6">
                  <w:pPr>
                    <w:keepNext w:val="0"/>
                    <w:keepLines w:val="0"/>
                    <w:widowControl/>
                    <w:suppressLineNumbers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996" w:type="dxa"/>
                  <w:noWrap w:val="0"/>
                  <w:vAlign w:val="center"/>
                </w:tcPr>
                <w:p w14:paraId="6997FB3A">
                  <w:pPr>
                    <w:keepNext w:val="0"/>
                    <w:keepLines w:val="0"/>
                    <w:widowControl/>
                    <w:suppressLineNumbers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个</w:t>
                  </w:r>
                </w:p>
              </w:tc>
            </w:tr>
            <w:tr w14:paraId="531C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top"/>
                </w:tcPr>
                <w:p w14:paraId="2E0757C6">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4774" w:type="dxa"/>
                  <w:noWrap w:val="0"/>
                  <w:vAlign w:val="center"/>
                </w:tcPr>
                <w:p w14:paraId="73A135AC">
                  <w:pPr>
                    <w:keepNext w:val="0"/>
                    <w:keepLines w:val="0"/>
                    <w:widowControl/>
                    <w:suppressLineNumbers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流量计胶管组件</w:t>
                  </w:r>
                </w:p>
              </w:tc>
              <w:tc>
                <w:tcPr>
                  <w:tcW w:w="818" w:type="dxa"/>
                  <w:noWrap w:val="0"/>
                  <w:vAlign w:val="center"/>
                </w:tcPr>
                <w:p w14:paraId="1F97D353">
                  <w:pPr>
                    <w:keepNext w:val="0"/>
                    <w:keepLines w:val="0"/>
                    <w:widowControl/>
                    <w:suppressLineNumbers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996" w:type="dxa"/>
                  <w:noWrap w:val="0"/>
                  <w:vAlign w:val="center"/>
                </w:tcPr>
                <w:p w14:paraId="459C4D96">
                  <w:pPr>
                    <w:keepNext w:val="0"/>
                    <w:keepLines w:val="0"/>
                    <w:widowControl/>
                    <w:suppressLineNumbers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r>
            <w:tr w14:paraId="05C03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top"/>
                </w:tcPr>
                <w:p w14:paraId="34F16A2E">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4774" w:type="dxa"/>
                  <w:noWrap w:val="0"/>
                  <w:vAlign w:val="center"/>
                </w:tcPr>
                <w:p w14:paraId="7A5DC25A">
                  <w:pPr>
                    <w:keepNext w:val="0"/>
                    <w:keepLines w:val="0"/>
                    <w:widowControl/>
                    <w:suppressLineNumbers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空气过滤片</w:t>
                  </w:r>
                </w:p>
              </w:tc>
              <w:tc>
                <w:tcPr>
                  <w:tcW w:w="818" w:type="dxa"/>
                  <w:noWrap w:val="0"/>
                  <w:vAlign w:val="center"/>
                </w:tcPr>
                <w:p w14:paraId="5B86577B">
                  <w:pPr>
                    <w:keepNext w:val="0"/>
                    <w:keepLines w:val="0"/>
                    <w:widowControl/>
                    <w:suppressLineNumbers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p>
              </w:tc>
              <w:tc>
                <w:tcPr>
                  <w:tcW w:w="996" w:type="dxa"/>
                  <w:noWrap w:val="0"/>
                  <w:vAlign w:val="center"/>
                </w:tcPr>
                <w:p w14:paraId="7C854A35">
                  <w:pPr>
                    <w:keepNext w:val="0"/>
                    <w:keepLines w:val="0"/>
                    <w:widowControl/>
                    <w:suppressLineNumbers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包</w:t>
                  </w:r>
                </w:p>
              </w:tc>
            </w:tr>
          </w:tbl>
          <w:p w14:paraId="792FC8D8">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highlight w:val="none"/>
              </w:rPr>
            </w:pPr>
          </w:p>
          <w:p w14:paraId="080214E7">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highlight w:val="none"/>
              </w:rPr>
            </w:pPr>
          </w:p>
          <w:p w14:paraId="6184DA89">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highlight w:val="none"/>
              </w:rPr>
            </w:pPr>
          </w:p>
          <w:p w14:paraId="7845DCFA">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注：1.以技术（参数）要求序号最细的（如</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与1.之间，1.为最细序号）作为一项参数。</w:t>
            </w:r>
          </w:p>
          <w:p w14:paraId="08E09424">
            <w:pPr>
              <w:pStyle w:val="17"/>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2.投标人应对“2.技术标准与要求”中的各个条款在投标文件格式的《技术和服务要求响应表》中作出响应。</w:t>
            </w:r>
          </w:p>
        </w:tc>
      </w:tr>
      <w:tr w14:paraId="5FB70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491" w:type="dxa"/>
            <w:noWrap w:val="0"/>
            <w:vAlign w:val="center"/>
          </w:tcPr>
          <w:p w14:paraId="0E34D059">
            <w:pPr>
              <w:keepNext/>
              <w:keepLines/>
              <w:adjustRightInd w:val="0"/>
              <w:spacing w:line="360" w:lineRule="auto"/>
              <w:jc w:val="center"/>
              <w:textAlignment w:val="baseline"/>
              <w:outlineLvl w:val="1"/>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说明</w:t>
            </w:r>
          </w:p>
        </w:tc>
        <w:tc>
          <w:tcPr>
            <w:tcW w:w="8904" w:type="dxa"/>
            <w:gridSpan w:val="2"/>
            <w:noWrap w:val="0"/>
            <w:vAlign w:val="center"/>
          </w:tcPr>
          <w:p w14:paraId="764F2178">
            <w:pPr>
              <w:keepNext/>
              <w:keepLines/>
              <w:adjustRightInd w:val="0"/>
              <w:spacing w:line="360" w:lineRule="auto"/>
              <w:jc w:val="left"/>
              <w:textAlignment w:val="baseline"/>
              <w:outlineLvl w:val="1"/>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打“★”号条款为实质性条款，若有任何一条负偏离或不满足则导致投标（响应）无效。</w:t>
            </w:r>
          </w:p>
          <w:p w14:paraId="27A25386">
            <w:pPr>
              <w:keepNext/>
              <w:keepLines/>
              <w:adjustRightInd w:val="0"/>
              <w:spacing w:line="360" w:lineRule="auto"/>
              <w:jc w:val="left"/>
              <w:textAlignment w:val="baseline"/>
              <w:outlineLvl w:val="1"/>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打“▲”号条款为重要技术参数（如有），若有部分“▲”条款未响应或不满足，将根据评审要求影响其得分，但不作为无效投标（响应）条款。</w:t>
            </w:r>
          </w:p>
        </w:tc>
      </w:tr>
    </w:tbl>
    <w:p w14:paraId="19B7F733">
      <w:pPr>
        <w:pStyle w:val="9"/>
        <w:spacing w:line="360" w:lineRule="auto"/>
        <w:jc w:val="left"/>
        <w:rPr>
          <w:rFonts w:hint="eastAsia" w:ascii="宋体" w:hAnsi="宋体" w:eastAsia="宋体" w:cs="宋体"/>
          <w:color w:val="auto"/>
          <w:sz w:val="24"/>
          <w:szCs w:val="24"/>
          <w:highlight w:val="none"/>
        </w:rPr>
      </w:pPr>
    </w:p>
    <w:p w14:paraId="33FC7AED">
      <w:pPr>
        <w:keepNext/>
        <w:keepLines/>
        <w:adjustRightInd w:val="0"/>
        <w:spacing w:line="360" w:lineRule="auto"/>
        <w:jc w:val="left"/>
        <w:textAlignment w:val="baseline"/>
        <w:outlineLvl w:val="1"/>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rPr>
        <w:t>附</w:t>
      </w:r>
      <w:r>
        <w:rPr>
          <w:rFonts w:hint="eastAsia" w:ascii="宋体" w:hAnsi="宋体" w:eastAsia="宋体" w:cs="宋体"/>
          <w:b/>
          <w:bCs w:val="0"/>
          <w:color w:val="auto"/>
          <w:kern w:val="0"/>
          <w:sz w:val="24"/>
          <w:szCs w:val="24"/>
          <w:highlight w:val="none"/>
        </w:rPr>
        <w:t>表</w:t>
      </w:r>
      <w:r>
        <w:rPr>
          <w:rFonts w:hint="eastAsia" w:ascii="宋体" w:hAnsi="宋体" w:eastAsia="宋体" w:cs="宋体"/>
          <w:b/>
          <w:bCs w:val="0"/>
          <w:color w:val="auto"/>
          <w:kern w:val="0"/>
          <w:sz w:val="24"/>
          <w:szCs w:val="24"/>
          <w:highlight w:val="none"/>
          <w:lang w:val="en-US" w:eastAsia="zh-CN"/>
        </w:rPr>
        <w:t>三</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eastAsia="zh-CN"/>
        </w:rPr>
        <w:t>壁式医用负压吸引器</w:t>
      </w:r>
    </w:p>
    <w:tbl>
      <w:tblPr>
        <w:tblStyle w:val="12"/>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450"/>
        <w:gridCol w:w="8454"/>
      </w:tblGrid>
      <w:tr w14:paraId="5F3F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491" w:type="dxa"/>
            <w:shd w:val="clear" w:color="auto" w:fill="EEECE1"/>
            <w:noWrap w:val="0"/>
            <w:vAlign w:val="center"/>
          </w:tcPr>
          <w:p w14:paraId="549D22E2">
            <w:pPr>
              <w:keepNext/>
              <w:keepLines/>
              <w:adjustRightInd w:val="0"/>
              <w:spacing w:line="360" w:lineRule="auto"/>
              <w:jc w:val="center"/>
              <w:textAlignment w:val="baseline"/>
              <w:outlineLvl w:val="1"/>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参数性质</w:t>
            </w:r>
          </w:p>
        </w:tc>
        <w:tc>
          <w:tcPr>
            <w:tcW w:w="450" w:type="dxa"/>
            <w:shd w:val="clear" w:color="auto" w:fill="EEECE1"/>
            <w:noWrap w:val="0"/>
            <w:vAlign w:val="center"/>
          </w:tcPr>
          <w:p w14:paraId="3E571C2C">
            <w:pPr>
              <w:keepNext/>
              <w:keepLines/>
              <w:adjustRightInd w:val="0"/>
              <w:spacing w:line="360" w:lineRule="auto"/>
              <w:jc w:val="center"/>
              <w:textAlignment w:val="baseline"/>
              <w:outlineLvl w:val="1"/>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8454" w:type="dxa"/>
            <w:shd w:val="clear" w:color="auto" w:fill="EEECE1"/>
            <w:noWrap w:val="0"/>
            <w:vAlign w:val="center"/>
          </w:tcPr>
          <w:p w14:paraId="2E2D4DAE">
            <w:pPr>
              <w:keepNext/>
              <w:keepLines/>
              <w:adjustRightInd w:val="0"/>
              <w:spacing w:line="360" w:lineRule="auto"/>
              <w:jc w:val="center"/>
              <w:textAlignment w:val="baseline"/>
              <w:outlineLvl w:val="1"/>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具体技术（参数）要求</w:t>
            </w:r>
          </w:p>
        </w:tc>
      </w:tr>
      <w:tr w14:paraId="00C4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noWrap w:val="0"/>
            <w:vAlign w:val="center"/>
          </w:tcPr>
          <w:p w14:paraId="53651287">
            <w:pPr>
              <w:keepNext/>
              <w:keepLines/>
              <w:adjustRightInd w:val="0"/>
              <w:spacing w:line="360" w:lineRule="auto"/>
              <w:jc w:val="center"/>
              <w:textAlignment w:val="baseline"/>
              <w:rPr>
                <w:rFonts w:hint="eastAsia" w:ascii="宋体" w:hAnsi="宋体" w:eastAsia="宋体" w:cs="宋体"/>
                <w:bCs/>
                <w:color w:val="auto"/>
                <w:kern w:val="0"/>
                <w:szCs w:val="21"/>
                <w:highlight w:val="none"/>
              </w:rPr>
            </w:pPr>
          </w:p>
        </w:tc>
        <w:tc>
          <w:tcPr>
            <w:tcW w:w="450" w:type="dxa"/>
            <w:noWrap w:val="0"/>
            <w:vAlign w:val="center"/>
          </w:tcPr>
          <w:p w14:paraId="2EA23170">
            <w:pPr>
              <w:keepNext/>
              <w:keepLines/>
              <w:adjustRightInd w:val="0"/>
              <w:spacing w:line="360" w:lineRule="auto"/>
              <w:jc w:val="center"/>
              <w:textAlignment w:val="baseline"/>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w:t>
            </w:r>
          </w:p>
        </w:tc>
        <w:tc>
          <w:tcPr>
            <w:tcW w:w="8454" w:type="dxa"/>
            <w:noWrap w:val="0"/>
            <w:vAlign w:val="bottom"/>
          </w:tcPr>
          <w:p w14:paraId="4E204A9F">
            <w:pPr>
              <w:pStyle w:val="16"/>
              <w:keepNext w:val="0"/>
              <w:keepLines w:val="0"/>
              <w:pageBreakBefore w:val="0"/>
              <w:numPr>
                <w:ilvl w:val="0"/>
                <w:numId w:val="0"/>
              </w:numPr>
              <w:kinsoku/>
              <w:wordWrap/>
              <w:overflowPunct/>
              <w:topLinePunct w:val="0"/>
              <w:autoSpaceDE/>
              <w:autoSpaceDN/>
              <w:bidi w:val="0"/>
              <w:adjustRightInd/>
              <w:snapToGrid/>
              <w:spacing w:line="360" w:lineRule="auto"/>
              <w:ind w:left="0" w:firstLine="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★一、产品要求：投标产品须为具有《医疗器械注册证》的产品。（提供《医疗器械注册证》并加盖投标人公章）</w:t>
            </w:r>
          </w:p>
          <w:p w14:paraId="06109354">
            <w:pPr>
              <w:pStyle w:val="1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val="0"/>
                <w:color w:val="auto"/>
                <w:kern w:val="2"/>
                <w:sz w:val="21"/>
                <w:szCs w:val="21"/>
                <w:highlight w:val="none"/>
                <w:lang w:val="en-US" w:eastAsia="zh-CN" w:bidi="ar-SA"/>
              </w:rPr>
              <w:t>二、</w:t>
            </w:r>
            <w:r>
              <w:rPr>
                <w:rFonts w:hint="eastAsia" w:ascii="宋体" w:hAnsi="宋体" w:eastAsia="宋体" w:cs="宋体"/>
                <w:b/>
                <w:color w:val="auto"/>
                <w:sz w:val="21"/>
                <w:szCs w:val="21"/>
                <w:highlight w:val="none"/>
              </w:rPr>
              <w:t>主要技术参数：</w:t>
            </w:r>
          </w:p>
          <w:p w14:paraId="76467534">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1、设备由负压表显调节装置和负压终端接头组成，自带溢流保护装置。</w:t>
            </w:r>
          </w:p>
          <w:p w14:paraId="23707202">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2、设备采取夜光表盘，顺时针、逆时针两种模式，表盘直径必须在2″以上，并且不同的负压段，采用不同的颜色标识；</w:t>
            </w:r>
          </w:p>
          <w:p w14:paraId="02F66B7D">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3、设备的表盘有“0- -21Kpa”、“0- -40Kpa”、“0- -100Kpa”等可选；</w:t>
            </w:r>
          </w:p>
          <w:p w14:paraId="7ACB6696">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4、设备的负压精度是满量程的±5%以内（含±5%）；</w:t>
            </w:r>
          </w:p>
          <w:p w14:paraId="48A02F68">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5、设备外壳采用优质工程塑料，流线型紧凑设计，结构牢固，并可用消毒剂即可清洁干净；</w:t>
            </w:r>
          </w:p>
          <w:p w14:paraId="6FFA64C5">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6、设备自带位于顶部的指拨式切换开关，“调节</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关闭</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工作指示模式指示标贴，简单操作；</w:t>
            </w:r>
          </w:p>
          <w:p w14:paraId="3A1B8CA1">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7、设备抽吸压力可依要求无级设定，采用大旋钮，纳米防菌技术，并有ISO色标可供选择；</w:t>
            </w:r>
          </w:p>
          <w:p w14:paraId="1EC17F40">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8、设备内部所用机械部件比较少，耐腐蚀、无需润滑，维护方便；</w:t>
            </w:r>
          </w:p>
          <w:p w14:paraId="174CABC9">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9、设备的负压口可兼容不同形状的接头，吸引器和接头可立即拆卸，方便维修；可兼容德标；</w:t>
            </w:r>
          </w:p>
          <w:p w14:paraId="6ECC0DEA">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10、设备自带溢流保护装置，有效防止废液集满后倒流，确保气体管路安全；</w:t>
            </w:r>
          </w:p>
          <w:p w14:paraId="3EF46F81">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rPr>
              <w:t>三、每套配置包含但不限于：</w:t>
            </w:r>
          </w:p>
          <w:tbl>
            <w:tblPr>
              <w:tblStyle w:val="12"/>
              <w:tblW w:w="7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4774"/>
              <w:gridCol w:w="818"/>
              <w:gridCol w:w="996"/>
            </w:tblGrid>
            <w:tr w14:paraId="491B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058" w:type="dxa"/>
                  <w:noWrap w:val="0"/>
                  <w:vAlign w:val="top"/>
                </w:tcPr>
                <w:p w14:paraId="2EE3DB7C">
                  <w:pPr>
                    <w:spacing w:line="36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4774" w:type="dxa"/>
                  <w:noWrap w:val="0"/>
                  <w:vAlign w:val="top"/>
                </w:tcPr>
                <w:p w14:paraId="113472D0">
                  <w:pPr>
                    <w:spacing w:line="36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货物名称</w:t>
                  </w:r>
                </w:p>
              </w:tc>
              <w:tc>
                <w:tcPr>
                  <w:tcW w:w="818" w:type="dxa"/>
                  <w:noWrap w:val="0"/>
                  <w:vAlign w:val="top"/>
                </w:tcPr>
                <w:p w14:paraId="7A6AEC7E">
                  <w:pPr>
                    <w:spacing w:line="36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数量</w:t>
                  </w:r>
                </w:p>
              </w:tc>
              <w:tc>
                <w:tcPr>
                  <w:tcW w:w="996" w:type="dxa"/>
                  <w:noWrap w:val="0"/>
                  <w:vAlign w:val="top"/>
                </w:tcPr>
                <w:p w14:paraId="70FF1225">
                  <w:pPr>
                    <w:spacing w:line="36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单位</w:t>
                  </w:r>
                </w:p>
              </w:tc>
            </w:tr>
            <w:tr w14:paraId="1A3C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058" w:type="dxa"/>
                  <w:noWrap w:val="0"/>
                  <w:vAlign w:val="top"/>
                </w:tcPr>
                <w:p w14:paraId="1158917C">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4774" w:type="dxa"/>
                  <w:noWrap w:val="0"/>
                  <w:vAlign w:val="top"/>
                </w:tcPr>
                <w:p w14:paraId="4389878C">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color w:val="auto"/>
                      <w:sz w:val="21"/>
                      <w:szCs w:val="21"/>
                      <w:highlight w:val="none"/>
                      <w:lang w:val="en-US" w:eastAsia="zh-CN"/>
                    </w:rPr>
                    <w:t>壁式医用负压吸引器</w:t>
                  </w:r>
                </w:p>
              </w:tc>
              <w:tc>
                <w:tcPr>
                  <w:tcW w:w="818" w:type="dxa"/>
                  <w:noWrap w:val="0"/>
                  <w:vAlign w:val="center"/>
                </w:tcPr>
                <w:p w14:paraId="7CDF3462">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96" w:type="dxa"/>
                  <w:noWrap w:val="0"/>
                  <w:vAlign w:val="top"/>
                </w:tcPr>
                <w:p w14:paraId="0FB105F1">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套</w:t>
                  </w:r>
                </w:p>
              </w:tc>
            </w:tr>
            <w:tr w14:paraId="7BE6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058" w:type="dxa"/>
                  <w:noWrap w:val="0"/>
                  <w:vAlign w:val="top"/>
                </w:tcPr>
                <w:p w14:paraId="29345309">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4774" w:type="dxa"/>
                  <w:noWrap w:val="0"/>
                  <w:vAlign w:val="top"/>
                </w:tcPr>
                <w:p w14:paraId="24515074">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说明书</w:t>
                  </w:r>
                </w:p>
              </w:tc>
              <w:tc>
                <w:tcPr>
                  <w:tcW w:w="818" w:type="dxa"/>
                  <w:noWrap w:val="0"/>
                  <w:vAlign w:val="center"/>
                </w:tcPr>
                <w:p w14:paraId="039DBA9A">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96" w:type="dxa"/>
                  <w:noWrap w:val="0"/>
                  <w:vAlign w:val="top"/>
                </w:tcPr>
                <w:p w14:paraId="259DF290">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本</w:t>
                  </w:r>
                </w:p>
              </w:tc>
            </w:tr>
          </w:tbl>
          <w:p w14:paraId="2E660977">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highlight w:val="none"/>
              </w:rPr>
            </w:pPr>
          </w:p>
          <w:p w14:paraId="03D76950">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highlight w:val="none"/>
              </w:rPr>
            </w:pPr>
          </w:p>
          <w:p w14:paraId="4CDC26DE">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注：1.以技术（参数）要求序号最细的（如</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与1.之间，1.为最细序号）作为一项参数。</w:t>
            </w:r>
          </w:p>
          <w:p w14:paraId="2F863ED8">
            <w:pPr>
              <w:pStyle w:val="17"/>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2.投标人应对“2.技术标准与要求”中的各个条款在投标文件格式的《技术和服务要求响应表》中作出响应。</w:t>
            </w:r>
          </w:p>
        </w:tc>
      </w:tr>
      <w:tr w14:paraId="48E8D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491" w:type="dxa"/>
            <w:noWrap w:val="0"/>
            <w:vAlign w:val="center"/>
          </w:tcPr>
          <w:p w14:paraId="66207B64">
            <w:pPr>
              <w:keepNext/>
              <w:keepLines/>
              <w:adjustRightInd w:val="0"/>
              <w:spacing w:line="360" w:lineRule="auto"/>
              <w:jc w:val="center"/>
              <w:textAlignment w:val="baseline"/>
              <w:outlineLvl w:val="1"/>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说明</w:t>
            </w:r>
          </w:p>
        </w:tc>
        <w:tc>
          <w:tcPr>
            <w:tcW w:w="8904" w:type="dxa"/>
            <w:gridSpan w:val="2"/>
            <w:noWrap w:val="0"/>
            <w:vAlign w:val="center"/>
          </w:tcPr>
          <w:p w14:paraId="7B26F838">
            <w:pPr>
              <w:keepNext/>
              <w:keepLines/>
              <w:adjustRightInd w:val="0"/>
              <w:spacing w:line="360" w:lineRule="auto"/>
              <w:jc w:val="left"/>
              <w:textAlignment w:val="baseline"/>
              <w:outlineLvl w:val="1"/>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打“★”号条款为实质性条款，若有任何一条负偏离或不满足则导致投标（响应）无效。</w:t>
            </w:r>
          </w:p>
          <w:p w14:paraId="5A91E286">
            <w:pPr>
              <w:keepNext/>
              <w:keepLines/>
              <w:adjustRightInd w:val="0"/>
              <w:spacing w:line="360" w:lineRule="auto"/>
              <w:jc w:val="left"/>
              <w:textAlignment w:val="baseline"/>
              <w:outlineLvl w:val="1"/>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打“▲”号条款为重要技术参数（如有），若有部分“▲”条款未响应或不满足，将根据评审要求影响其得分，但不作为无效投标（响应）条款。</w:t>
            </w:r>
          </w:p>
        </w:tc>
      </w:tr>
    </w:tbl>
    <w:p w14:paraId="4E5191E6">
      <w:pPr>
        <w:pStyle w:val="9"/>
        <w:spacing w:line="360" w:lineRule="auto"/>
        <w:jc w:val="left"/>
        <w:rPr>
          <w:rFonts w:hint="eastAsia" w:ascii="宋体" w:hAnsi="宋体" w:eastAsia="宋体" w:cs="宋体"/>
          <w:color w:val="auto"/>
          <w:sz w:val="24"/>
          <w:szCs w:val="24"/>
          <w:highlight w:val="none"/>
        </w:rPr>
      </w:pPr>
    </w:p>
    <w:p w14:paraId="12BB4581">
      <w:pPr>
        <w:keepNext/>
        <w:keepLines/>
        <w:adjustRightInd w:val="0"/>
        <w:spacing w:line="360" w:lineRule="auto"/>
        <w:jc w:val="left"/>
        <w:textAlignment w:val="baseline"/>
        <w:outlineLvl w:val="1"/>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rPr>
        <w:t>附</w:t>
      </w:r>
      <w:r>
        <w:rPr>
          <w:rFonts w:hint="eastAsia" w:ascii="宋体" w:hAnsi="宋体" w:eastAsia="宋体" w:cs="宋体"/>
          <w:b/>
          <w:bCs w:val="0"/>
          <w:color w:val="auto"/>
          <w:kern w:val="0"/>
          <w:sz w:val="24"/>
          <w:szCs w:val="24"/>
          <w:highlight w:val="none"/>
        </w:rPr>
        <w:t>表</w:t>
      </w:r>
      <w:r>
        <w:rPr>
          <w:rFonts w:hint="eastAsia" w:ascii="宋体" w:hAnsi="宋体" w:eastAsia="宋体" w:cs="宋体"/>
          <w:b/>
          <w:bCs w:val="0"/>
          <w:color w:val="auto"/>
          <w:kern w:val="0"/>
          <w:sz w:val="24"/>
          <w:szCs w:val="24"/>
          <w:highlight w:val="none"/>
          <w:lang w:val="en-US" w:eastAsia="zh-CN"/>
        </w:rPr>
        <w:t>四</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eastAsia="zh-CN"/>
        </w:rPr>
        <w:t>AED除颤仪</w:t>
      </w:r>
    </w:p>
    <w:tbl>
      <w:tblPr>
        <w:tblStyle w:val="12"/>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450"/>
        <w:gridCol w:w="8454"/>
      </w:tblGrid>
      <w:tr w14:paraId="134F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8" w:hRule="atLeast"/>
        </w:trPr>
        <w:tc>
          <w:tcPr>
            <w:tcW w:w="491" w:type="dxa"/>
            <w:shd w:val="clear" w:color="auto" w:fill="EEECE1"/>
            <w:noWrap w:val="0"/>
            <w:vAlign w:val="center"/>
          </w:tcPr>
          <w:p w14:paraId="61555ECF">
            <w:pPr>
              <w:keepNext/>
              <w:keepLines/>
              <w:adjustRightInd w:val="0"/>
              <w:spacing w:line="360" w:lineRule="auto"/>
              <w:jc w:val="center"/>
              <w:textAlignment w:val="baseline"/>
              <w:outlineLvl w:val="1"/>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参数性质</w:t>
            </w:r>
          </w:p>
        </w:tc>
        <w:tc>
          <w:tcPr>
            <w:tcW w:w="450" w:type="dxa"/>
            <w:shd w:val="clear" w:color="auto" w:fill="EEECE1"/>
            <w:noWrap w:val="0"/>
            <w:vAlign w:val="center"/>
          </w:tcPr>
          <w:p w14:paraId="79296978">
            <w:pPr>
              <w:keepNext/>
              <w:keepLines/>
              <w:adjustRightInd w:val="0"/>
              <w:spacing w:line="360" w:lineRule="auto"/>
              <w:jc w:val="center"/>
              <w:textAlignment w:val="baseline"/>
              <w:outlineLvl w:val="1"/>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8454" w:type="dxa"/>
            <w:shd w:val="clear" w:color="auto" w:fill="EEECE1"/>
            <w:noWrap w:val="0"/>
            <w:vAlign w:val="center"/>
          </w:tcPr>
          <w:p w14:paraId="42FE633A">
            <w:pPr>
              <w:keepNext/>
              <w:keepLines/>
              <w:adjustRightInd w:val="0"/>
              <w:spacing w:line="360" w:lineRule="auto"/>
              <w:jc w:val="center"/>
              <w:textAlignment w:val="baseline"/>
              <w:outlineLvl w:val="1"/>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具体技术（参数）要求</w:t>
            </w:r>
          </w:p>
        </w:tc>
      </w:tr>
      <w:tr w14:paraId="608B3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noWrap w:val="0"/>
            <w:vAlign w:val="center"/>
          </w:tcPr>
          <w:p w14:paraId="1D1CFDC3">
            <w:pPr>
              <w:keepNext/>
              <w:keepLines/>
              <w:adjustRightInd w:val="0"/>
              <w:spacing w:line="360" w:lineRule="auto"/>
              <w:jc w:val="center"/>
              <w:textAlignment w:val="baseline"/>
              <w:rPr>
                <w:rFonts w:hint="eastAsia" w:ascii="宋体" w:hAnsi="宋体" w:eastAsia="宋体" w:cs="宋体"/>
                <w:bCs/>
                <w:color w:val="auto"/>
                <w:kern w:val="0"/>
                <w:szCs w:val="21"/>
                <w:highlight w:val="none"/>
              </w:rPr>
            </w:pPr>
          </w:p>
        </w:tc>
        <w:tc>
          <w:tcPr>
            <w:tcW w:w="450" w:type="dxa"/>
            <w:noWrap w:val="0"/>
            <w:vAlign w:val="center"/>
          </w:tcPr>
          <w:p w14:paraId="0ADD5AA0">
            <w:pPr>
              <w:keepNext/>
              <w:keepLines/>
              <w:adjustRightInd w:val="0"/>
              <w:spacing w:line="360" w:lineRule="auto"/>
              <w:jc w:val="center"/>
              <w:textAlignment w:val="baseline"/>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w:t>
            </w:r>
          </w:p>
        </w:tc>
        <w:tc>
          <w:tcPr>
            <w:tcW w:w="8454" w:type="dxa"/>
            <w:noWrap w:val="0"/>
            <w:vAlign w:val="bottom"/>
          </w:tcPr>
          <w:p w14:paraId="4351719A">
            <w:pPr>
              <w:pStyle w:val="16"/>
              <w:keepNext w:val="0"/>
              <w:keepLines w:val="0"/>
              <w:pageBreakBefore w:val="0"/>
              <w:numPr>
                <w:ilvl w:val="0"/>
                <w:numId w:val="0"/>
              </w:numPr>
              <w:kinsoku/>
              <w:wordWrap/>
              <w:overflowPunct/>
              <w:topLinePunct w:val="0"/>
              <w:autoSpaceDE/>
              <w:autoSpaceDN/>
              <w:bidi w:val="0"/>
              <w:adjustRightInd/>
              <w:snapToGrid/>
              <w:spacing w:line="360" w:lineRule="auto"/>
              <w:ind w:left="0" w:firstLine="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★一、产品要求：投标产品须为具有《医疗器械注册证》的产品。（提供《医疗器械注册证》并加盖投标人公章）</w:t>
            </w:r>
          </w:p>
          <w:p w14:paraId="2BC84722">
            <w:pPr>
              <w:pStyle w:val="1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val="0"/>
                <w:color w:val="auto"/>
                <w:kern w:val="2"/>
                <w:sz w:val="21"/>
                <w:szCs w:val="21"/>
                <w:highlight w:val="none"/>
                <w:lang w:val="en-US" w:eastAsia="zh-CN" w:bidi="ar-SA"/>
              </w:rPr>
              <w:t>二、</w:t>
            </w:r>
            <w:r>
              <w:rPr>
                <w:rFonts w:hint="eastAsia" w:ascii="宋体" w:hAnsi="宋体" w:eastAsia="宋体" w:cs="宋体"/>
                <w:b/>
                <w:color w:val="auto"/>
                <w:sz w:val="21"/>
                <w:szCs w:val="21"/>
                <w:highlight w:val="none"/>
              </w:rPr>
              <w:t>主要技术参数：</w:t>
            </w:r>
          </w:p>
          <w:p w14:paraId="67BF97E7">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1.配置≥3寸高清真彩液晶显示屏，并实时显示当前心电波形</w:t>
            </w:r>
          </w:p>
          <w:p w14:paraId="5E4D5805">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2.语音提示功能：具备中文语音提示功能</w:t>
            </w:r>
          </w:p>
          <w:p w14:paraId="78FC7FA7">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3.具有提手，可方便携带，两键（开/关键、除颤键）即可完成操作，无盖子、盖板等，提高急救效率</w:t>
            </w:r>
          </w:p>
          <w:p w14:paraId="475ECA55">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4.除颤输出波形：双向截指数波形</w:t>
            </w:r>
          </w:p>
          <w:p w14:paraId="64842D6D">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5.输出能量：最大输出能量≤200J</w:t>
            </w:r>
          </w:p>
          <w:p w14:paraId="05BDB1BA">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6.放电时间：开始分析到最高能量除颤放电准备好，时间＜6秒（提供检测报告证明</w:t>
            </w:r>
            <w:r>
              <w:rPr>
                <w:rFonts w:hint="eastAsia" w:ascii="宋体" w:hAnsi="宋体" w:eastAsia="宋体" w:cs="宋体"/>
                <w:b w:val="0"/>
                <w:bCs w:val="0"/>
                <w:color w:val="auto"/>
                <w:sz w:val="21"/>
                <w:szCs w:val="21"/>
                <w:highlight w:val="none"/>
              </w:rPr>
              <w:t>并</w:t>
            </w:r>
            <w:r>
              <w:rPr>
                <w:rFonts w:hint="eastAsia" w:ascii="宋体" w:hAnsi="宋体" w:eastAsia="宋体" w:cs="宋体"/>
                <w:b w:val="0"/>
                <w:bCs w:val="0"/>
                <w:color w:val="auto"/>
                <w:sz w:val="21"/>
                <w:szCs w:val="21"/>
                <w:highlight w:val="none"/>
                <w:lang w:val="en-US" w:eastAsia="zh-CN"/>
              </w:rPr>
              <w:t>加</w:t>
            </w:r>
            <w:r>
              <w:rPr>
                <w:rFonts w:hint="eastAsia" w:ascii="宋体" w:hAnsi="宋体" w:eastAsia="宋体" w:cs="宋体"/>
                <w:b w:val="0"/>
                <w:bCs w:val="0"/>
                <w:color w:val="auto"/>
                <w:sz w:val="21"/>
                <w:szCs w:val="21"/>
                <w:highlight w:val="none"/>
              </w:rPr>
              <w:t>盖</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公章</w:t>
            </w:r>
            <w:r>
              <w:rPr>
                <w:rFonts w:hint="eastAsia" w:ascii="宋体" w:hAnsi="宋体" w:eastAsia="宋体" w:cs="宋体"/>
                <w:b w:val="0"/>
                <w:bCs w:val="0"/>
                <w:color w:val="auto"/>
                <w:sz w:val="21"/>
                <w:szCs w:val="21"/>
                <w:highlight w:val="none"/>
              </w:rPr>
              <w:t>）</w:t>
            </w:r>
          </w:p>
          <w:p w14:paraId="133480EE">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7.除颤脉冲最大电压：≤1100V</w:t>
            </w:r>
          </w:p>
          <w:p w14:paraId="16E0D1AC">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8.可除颤的阻抗范围：20Ω～200Ω</w:t>
            </w:r>
          </w:p>
          <w:p w14:paraId="3CC134F3">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9.电池待机存放时间：≥5年，除颤电极片有效期：≥2 年</w:t>
            </w:r>
          </w:p>
          <w:p w14:paraId="57B295CC">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10.机器使用有效期≥10年（提供说明书或机器铭牌证明</w:t>
            </w:r>
            <w:r>
              <w:rPr>
                <w:rFonts w:hint="eastAsia" w:ascii="宋体" w:hAnsi="宋体" w:eastAsia="宋体" w:cs="宋体"/>
                <w:b w:val="0"/>
                <w:bCs w:val="0"/>
                <w:color w:val="auto"/>
                <w:sz w:val="21"/>
                <w:szCs w:val="21"/>
                <w:highlight w:val="none"/>
              </w:rPr>
              <w:t>并</w:t>
            </w:r>
            <w:r>
              <w:rPr>
                <w:rFonts w:hint="eastAsia" w:ascii="宋体" w:hAnsi="宋体" w:eastAsia="宋体" w:cs="宋体"/>
                <w:b w:val="0"/>
                <w:bCs w:val="0"/>
                <w:color w:val="auto"/>
                <w:sz w:val="21"/>
                <w:szCs w:val="21"/>
                <w:highlight w:val="none"/>
                <w:lang w:val="en-US" w:eastAsia="zh-CN"/>
              </w:rPr>
              <w:t>加</w:t>
            </w:r>
            <w:r>
              <w:rPr>
                <w:rFonts w:hint="eastAsia" w:ascii="宋体" w:hAnsi="宋体" w:eastAsia="宋体" w:cs="宋体"/>
                <w:b w:val="0"/>
                <w:bCs w:val="0"/>
                <w:color w:val="auto"/>
                <w:sz w:val="21"/>
                <w:szCs w:val="21"/>
                <w:highlight w:val="none"/>
              </w:rPr>
              <w:t>盖</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公章</w:t>
            </w:r>
            <w:r>
              <w:rPr>
                <w:rFonts w:hint="eastAsia" w:ascii="宋体" w:hAnsi="宋体" w:eastAsia="宋体" w:cs="宋体"/>
                <w:b w:val="0"/>
                <w:bCs w:val="0"/>
                <w:color w:val="auto"/>
                <w:sz w:val="21"/>
                <w:szCs w:val="21"/>
                <w:highlight w:val="none"/>
              </w:rPr>
              <w:t>）</w:t>
            </w:r>
          </w:p>
          <w:p w14:paraId="7C59433D">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LED 可视性提示功能，具有红外数据传输功能</w:t>
            </w:r>
          </w:p>
          <w:p w14:paraId="59B00B8F">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12.需具有ECG波形和声音的同步存储功能，可存储抢救记录数据，包括ECG波形、抢救事件记录、放电时间、除颤电击次数、录音文件等</w:t>
            </w:r>
          </w:p>
          <w:p w14:paraId="383D5108">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13.安全要求：符合</w:t>
            </w:r>
            <w:r>
              <w:rPr>
                <w:rFonts w:hint="eastAsia" w:ascii="宋体" w:hAnsi="宋体" w:eastAsia="宋体" w:cs="宋体"/>
                <w:b w:val="0"/>
                <w:bCs w:val="0"/>
                <w:color w:val="auto"/>
                <w:sz w:val="21"/>
                <w:szCs w:val="21"/>
                <w:highlight w:val="none"/>
              </w:rPr>
              <w:t>国家标准《医用电气设备 第2-4部分：心脏除颤器的基本安全和基本性能专用要求》（GB 9706.204-2022）</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国家标准《医用电气设备 第2-4部分：心脏除颤器的基本安全和基本性能专用要求》（GB 9706.204-2022）</w:t>
            </w:r>
          </w:p>
          <w:p w14:paraId="4E8CB8A4">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14.环境要求：符合</w:t>
            </w:r>
            <w:r>
              <w:rPr>
                <w:rFonts w:hint="eastAsia"/>
                <w:color w:val="auto"/>
                <w:highlight w:val="none"/>
              </w:rPr>
              <w:t>国家标准《医用电器环境要求及试验方法》</w:t>
            </w:r>
            <w:r>
              <w:rPr>
                <w:rFonts w:hint="eastAsia"/>
                <w:color w:val="auto"/>
                <w:highlight w:val="none"/>
                <w:lang w:eastAsia="zh-CN"/>
              </w:rPr>
              <w:t>（</w:t>
            </w:r>
            <w:r>
              <w:rPr>
                <w:rFonts w:hint="eastAsia" w:ascii="宋体" w:hAnsi="宋体" w:eastAsia="宋体" w:cs="宋体"/>
                <w:b w:val="0"/>
                <w:bCs w:val="0"/>
                <w:color w:val="auto"/>
                <w:sz w:val="21"/>
                <w:szCs w:val="21"/>
                <w:highlight w:val="none"/>
              </w:rPr>
              <w:t>GB/T 14710-2009</w:t>
            </w:r>
            <w:r>
              <w:rPr>
                <w:rFonts w:hint="eastAsia"/>
                <w:color w:val="auto"/>
                <w:highlight w:val="none"/>
                <w:lang w:eastAsia="zh-CN"/>
              </w:rPr>
              <w:t>）</w:t>
            </w:r>
          </w:p>
          <w:p w14:paraId="5467ABEA">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15.储存温度：-40℃～70℃（提供检测报告证明</w:t>
            </w:r>
            <w:r>
              <w:rPr>
                <w:rFonts w:hint="eastAsia" w:ascii="宋体" w:hAnsi="宋体" w:eastAsia="宋体" w:cs="宋体"/>
                <w:b w:val="0"/>
                <w:bCs w:val="0"/>
                <w:color w:val="auto"/>
                <w:sz w:val="21"/>
                <w:szCs w:val="21"/>
                <w:highlight w:val="none"/>
              </w:rPr>
              <w:t>并</w:t>
            </w:r>
            <w:r>
              <w:rPr>
                <w:rFonts w:hint="eastAsia" w:ascii="宋体" w:hAnsi="宋体" w:eastAsia="宋体" w:cs="宋体"/>
                <w:b w:val="0"/>
                <w:bCs w:val="0"/>
                <w:color w:val="auto"/>
                <w:sz w:val="21"/>
                <w:szCs w:val="21"/>
                <w:highlight w:val="none"/>
                <w:lang w:val="en-US" w:eastAsia="zh-CN"/>
              </w:rPr>
              <w:t>加</w:t>
            </w:r>
            <w:r>
              <w:rPr>
                <w:rFonts w:hint="eastAsia" w:ascii="宋体" w:hAnsi="宋体" w:eastAsia="宋体" w:cs="宋体"/>
                <w:b w:val="0"/>
                <w:bCs w:val="0"/>
                <w:color w:val="auto"/>
                <w:sz w:val="21"/>
                <w:szCs w:val="21"/>
                <w:highlight w:val="none"/>
              </w:rPr>
              <w:t>盖</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公章</w:t>
            </w:r>
            <w:r>
              <w:rPr>
                <w:rFonts w:hint="eastAsia" w:ascii="宋体" w:hAnsi="宋体" w:eastAsia="宋体" w:cs="宋体"/>
                <w:b w:val="0"/>
                <w:bCs w:val="0"/>
                <w:color w:val="auto"/>
                <w:sz w:val="21"/>
                <w:szCs w:val="21"/>
                <w:highlight w:val="none"/>
              </w:rPr>
              <w:t>）</w:t>
            </w:r>
          </w:p>
          <w:p w14:paraId="148CCB86">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16.在-20℃工作条件下工作时长≥180分钟</w:t>
            </w:r>
          </w:p>
          <w:p w14:paraId="57BC806D">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17.在55℃工作条件下工作时长≥240分钟</w:t>
            </w:r>
          </w:p>
          <w:p w14:paraId="3653625B">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18.电磁兼容要求：符合</w:t>
            </w:r>
            <w:r>
              <w:rPr>
                <w:rFonts w:hint="eastAsia" w:ascii="宋体" w:hAnsi="宋体" w:eastAsia="宋体" w:cs="宋体"/>
                <w:b w:val="0"/>
                <w:bCs w:val="0"/>
                <w:color w:val="auto"/>
                <w:sz w:val="21"/>
                <w:szCs w:val="21"/>
                <w:highlight w:val="none"/>
              </w:rPr>
              <w:t>行业标准《医用电气设备 第1-2部分：基本安全和基本性能的通用要求 并列标准：电磁兼容 要求和试验》（YY 9706.102-2021）</w:t>
            </w:r>
          </w:p>
          <w:p w14:paraId="027CC311">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19.安全性：</w:t>
            </w:r>
            <w:r>
              <w:rPr>
                <w:rFonts w:hint="eastAsia" w:ascii="宋体" w:hAnsi="宋体" w:eastAsia="宋体" w:cs="宋体"/>
                <w:b w:val="0"/>
                <w:bCs w:val="0"/>
                <w:color w:val="auto"/>
                <w:sz w:val="21"/>
                <w:szCs w:val="21"/>
                <w:highlight w:val="none"/>
                <w:lang w:val="en-US" w:eastAsia="zh-CN"/>
              </w:rPr>
              <w:t>防尘防水级别需达到IP55或优于</w:t>
            </w:r>
          </w:p>
          <w:p w14:paraId="574C4056">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防摔性：能承受6个面1.5m高度跌落无损（提供检测报告证明</w:t>
            </w:r>
            <w:r>
              <w:rPr>
                <w:rFonts w:hint="eastAsia" w:ascii="宋体" w:hAnsi="宋体" w:eastAsia="宋体" w:cs="宋体"/>
                <w:b w:val="0"/>
                <w:bCs w:val="0"/>
                <w:color w:val="auto"/>
                <w:sz w:val="21"/>
                <w:szCs w:val="21"/>
                <w:highlight w:val="none"/>
              </w:rPr>
              <w:t>并</w:t>
            </w:r>
            <w:r>
              <w:rPr>
                <w:rFonts w:hint="eastAsia" w:ascii="宋体" w:hAnsi="宋体" w:eastAsia="宋体" w:cs="宋体"/>
                <w:b w:val="0"/>
                <w:bCs w:val="0"/>
                <w:color w:val="auto"/>
                <w:sz w:val="21"/>
                <w:szCs w:val="21"/>
                <w:highlight w:val="none"/>
                <w:lang w:val="en-US" w:eastAsia="zh-CN"/>
              </w:rPr>
              <w:t>加</w:t>
            </w:r>
            <w:r>
              <w:rPr>
                <w:rFonts w:hint="eastAsia" w:ascii="宋体" w:hAnsi="宋体" w:eastAsia="宋体" w:cs="宋体"/>
                <w:b w:val="0"/>
                <w:bCs w:val="0"/>
                <w:color w:val="auto"/>
                <w:sz w:val="21"/>
                <w:szCs w:val="21"/>
                <w:highlight w:val="none"/>
              </w:rPr>
              <w:t>盖</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公章</w:t>
            </w:r>
            <w:r>
              <w:rPr>
                <w:rFonts w:hint="eastAsia" w:ascii="宋体" w:hAnsi="宋体" w:eastAsia="宋体" w:cs="宋体"/>
                <w:b w:val="0"/>
                <w:bCs w:val="0"/>
                <w:color w:val="auto"/>
                <w:sz w:val="21"/>
                <w:szCs w:val="21"/>
                <w:highlight w:val="none"/>
              </w:rPr>
              <w:t>）</w:t>
            </w:r>
          </w:p>
          <w:p w14:paraId="0BA01297">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rPr>
              <w:t>三、每套配置包含但不限于：</w:t>
            </w:r>
          </w:p>
          <w:tbl>
            <w:tblPr>
              <w:tblStyle w:val="12"/>
              <w:tblW w:w="7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4774"/>
              <w:gridCol w:w="818"/>
              <w:gridCol w:w="996"/>
            </w:tblGrid>
            <w:tr w14:paraId="7467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058" w:type="dxa"/>
                  <w:noWrap w:val="0"/>
                  <w:vAlign w:val="top"/>
                </w:tcPr>
                <w:p w14:paraId="5BCE23E3">
                  <w:pPr>
                    <w:spacing w:line="36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4774" w:type="dxa"/>
                  <w:noWrap w:val="0"/>
                  <w:vAlign w:val="top"/>
                </w:tcPr>
                <w:p w14:paraId="69E6C31E">
                  <w:pPr>
                    <w:spacing w:line="36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货物名称</w:t>
                  </w:r>
                </w:p>
              </w:tc>
              <w:tc>
                <w:tcPr>
                  <w:tcW w:w="818" w:type="dxa"/>
                  <w:noWrap w:val="0"/>
                  <w:vAlign w:val="top"/>
                </w:tcPr>
                <w:p w14:paraId="5F036A2B">
                  <w:pPr>
                    <w:spacing w:line="36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数量</w:t>
                  </w:r>
                </w:p>
              </w:tc>
              <w:tc>
                <w:tcPr>
                  <w:tcW w:w="996" w:type="dxa"/>
                  <w:noWrap w:val="0"/>
                  <w:vAlign w:val="top"/>
                </w:tcPr>
                <w:p w14:paraId="6D993CBC">
                  <w:pPr>
                    <w:spacing w:line="36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单位</w:t>
                  </w:r>
                </w:p>
              </w:tc>
            </w:tr>
            <w:tr w14:paraId="7ACC0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058" w:type="dxa"/>
                  <w:noWrap w:val="0"/>
                  <w:vAlign w:val="top"/>
                </w:tcPr>
                <w:p w14:paraId="569D3BDE">
                  <w:pPr>
                    <w:spacing w:line="360" w:lineRule="auto"/>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4774" w:type="dxa"/>
                  <w:noWrap w:val="0"/>
                  <w:vAlign w:val="top"/>
                </w:tcPr>
                <w:p w14:paraId="26A13E48">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AED除颤仪主机</w:t>
                  </w:r>
                </w:p>
              </w:tc>
              <w:tc>
                <w:tcPr>
                  <w:tcW w:w="818" w:type="dxa"/>
                  <w:noWrap w:val="0"/>
                  <w:vAlign w:val="center"/>
                </w:tcPr>
                <w:p w14:paraId="2074B980">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96" w:type="dxa"/>
                  <w:noWrap w:val="0"/>
                  <w:vAlign w:val="top"/>
                </w:tcPr>
                <w:p w14:paraId="749B22C3">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w:t>
                  </w:r>
                </w:p>
              </w:tc>
            </w:tr>
            <w:tr w14:paraId="2CE2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058" w:type="dxa"/>
                  <w:noWrap w:val="0"/>
                  <w:vAlign w:val="top"/>
                </w:tcPr>
                <w:p w14:paraId="76321634">
                  <w:pPr>
                    <w:spacing w:line="360" w:lineRule="auto"/>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4774" w:type="dxa"/>
                  <w:noWrap w:val="0"/>
                  <w:vAlign w:val="top"/>
                </w:tcPr>
                <w:p w14:paraId="260241B2">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AED放置柜</w:t>
                  </w:r>
                </w:p>
              </w:tc>
              <w:tc>
                <w:tcPr>
                  <w:tcW w:w="818" w:type="dxa"/>
                  <w:noWrap w:val="0"/>
                  <w:vAlign w:val="center"/>
                </w:tcPr>
                <w:p w14:paraId="7ACE3BD0">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96" w:type="dxa"/>
                  <w:noWrap w:val="0"/>
                  <w:vAlign w:val="top"/>
                </w:tcPr>
                <w:p w14:paraId="5953D023">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个</w:t>
                  </w:r>
                </w:p>
              </w:tc>
            </w:tr>
            <w:tr w14:paraId="3B982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top"/>
                </w:tcPr>
                <w:p w14:paraId="5F769833">
                  <w:pPr>
                    <w:spacing w:line="360" w:lineRule="auto"/>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4774" w:type="dxa"/>
                  <w:noWrap w:val="0"/>
                  <w:vAlign w:val="top"/>
                </w:tcPr>
                <w:p w14:paraId="7A1221C4">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电极片</w:t>
                  </w:r>
                </w:p>
              </w:tc>
              <w:tc>
                <w:tcPr>
                  <w:tcW w:w="818" w:type="dxa"/>
                  <w:noWrap w:val="0"/>
                  <w:vAlign w:val="center"/>
                </w:tcPr>
                <w:p w14:paraId="03973820">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996" w:type="dxa"/>
                  <w:noWrap w:val="0"/>
                  <w:vAlign w:val="top"/>
                </w:tcPr>
                <w:p w14:paraId="754D8B51">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包</w:t>
                  </w:r>
                </w:p>
              </w:tc>
            </w:tr>
            <w:tr w14:paraId="11AD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top"/>
                </w:tcPr>
                <w:p w14:paraId="35DC061C">
                  <w:pPr>
                    <w:spacing w:line="360" w:lineRule="auto"/>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4774" w:type="dxa"/>
                  <w:noWrap w:val="0"/>
                  <w:vAlign w:val="top"/>
                </w:tcPr>
                <w:p w14:paraId="0C72FC31">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电池</w:t>
                  </w:r>
                </w:p>
              </w:tc>
              <w:tc>
                <w:tcPr>
                  <w:tcW w:w="818" w:type="dxa"/>
                  <w:noWrap w:val="0"/>
                  <w:vAlign w:val="center"/>
                </w:tcPr>
                <w:p w14:paraId="374602BF">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96" w:type="dxa"/>
                  <w:noWrap w:val="0"/>
                  <w:vAlign w:val="top"/>
                </w:tcPr>
                <w:p w14:paraId="02334F81">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组</w:t>
                  </w:r>
                </w:p>
              </w:tc>
            </w:tr>
            <w:tr w14:paraId="3DB0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top"/>
                </w:tcPr>
                <w:p w14:paraId="5D13FB4D">
                  <w:pPr>
                    <w:spacing w:line="360" w:lineRule="auto"/>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4774" w:type="dxa"/>
                  <w:noWrap w:val="0"/>
                  <w:vAlign w:val="top"/>
                </w:tcPr>
                <w:p w14:paraId="009A5228">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合格证</w:t>
                  </w:r>
                </w:p>
              </w:tc>
              <w:tc>
                <w:tcPr>
                  <w:tcW w:w="818" w:type="dxa"/>
                  <w:noWrap w:val="0"/>
                  <w:vAlign w:val="center"/>
                </w:tcPr>
                <w:p w14:paraId="34E25DAA">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96" w:type="dxa"/>
                  <w:noWrap w:val="0"/>
                  <w:vAlign w:val="top"/>
                </w:tcPr>
                <w:p w14:paraId="164D1528">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张</w:t>
                  </w:r>
                </w:p>
              </w:tc>
            </w:tr>
            <w:tr w14:paraId="6D45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8" w:type="dxa"/>
                  <w:noWrap w:val="0"/>
                  <w:vAlign w:val="top"/>
                </w:tcPr>
                <w:p w14:paraId="568BF79B">
                  <w:pPr>
                    <w:spacing w:line="360" w:lineRule="auto"/>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4774" w:type="dxa"/>
                  <w:noWrap w:val="0"/>
                  <w:vAlign w:val="top"/>
                </w:tcPr>
                <w:p w14:paraId="2C07A729">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使用说明书</w:t>
                  </w:r>
                </w:p>
              </w:tc>
              <w:tc>
                <w:tcPr>
                  <w:tcW w:w="818" w:type="dxa"/>
                  <w:noWrap w:val="0"/>
                  <w:vAlign w:val="center"/>
                </w:tcPr>
                <w:p w14:paraId="071B949F">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96" w:type="dxa"/>
                  <w:noWrap w:val="0"/>
                  <w:vAlign w:val="top"/>
                </w:tcPr>
                <w:p w14:paraId="5AB43C6D">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本</w:t>
                  </w:r>
                </w:p>
              </w:tc>
            </w:tr>
          </w:tbl>
          <w:p w14:paraId="3774BA5C">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highlight w:val="none"/>
              </w:rPr>
            </w:pPr>
          </w:p>
          <w:p w14:paraId="74F974B1">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highlight w:val="none"/>
              </w:rPr>
            </w:pPr>
          </w:p>
          <w:p w14:paraId="56E423EB">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注：1.以技术（参数）要求序号最细的（如</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与1.之间，1.为最细序号）作为一项参数。</w:t>
            </w:r>
          </w:p>
          <w:p w14:paraId="6FF0D36D">
            <w:pPr>
              <w:pStyle w:val="17"/>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2.投标人应对“2.技术标准与要求”中的各个条款在投标文件格式的《技术和服务要求响应表》中作出响应。</w:t>
            </w:r>
          </w:p>
        </w:tc>
      </w:tr>
      <w:tr w14:paraId="0E915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491" w:type="dxa"/>
            <w:noWrap w:val="0"/>
            <w:vAlign w:val="center"/>
          </w:tcPr>
          <w:p w14:paraId="40252F26">
            <w:pPr>
              <w:keepNext/>
              <w:keepLines/>
              <w:adjustRightInd w:val="0"/>
              <w:spacing w:line="360" w:lineRule="auto"/>
              <w:jc w:val="center"/>
              <w:textAlignment w:val="baseline"/>
              <w:outlineLvl w:val="1"/>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说明</w:t>
            </w:r>
          </w:p>
        </w:tc>
        <w:tc>
          <w:tcPr>
            <w:tcW w:w="8904" w:type="dxa"/>
            <w:gridSpan w:val="2"/>
            <w:noWrap w:val="0"/>
            <w:vAlign w:val="center"/>
          </w:tcPr>
          <w:p w14:paraId="313225E2">
            <w:pPr>
              <w:keepNext/>
              <w:keepLines/>
              <w:adjustRightInd w:val="0"/>
              <w:spacing w:line="360" w:lineRule="auto"/>
              <w:jc w:val="left"/>
              <w:textAlignment w:val="baseline"/>
              <w:outlineLvl w:val="1"/>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打“★”号条款为实质性条款，若有任何一条负偏离或不满足则导致投标（响应）无效。</w:t>
            </w:r>
          </w:p>
          <w:p w14:paraId="095BD6A6">
            <w:pPr>
              <w:keepNext/>
              <w:keepLines/>
              <w:adjustRightInd w:val="0"/>
              <w:spacing w:line="360" w:lineRule="auto"/>
              <w:jc w:val="left"/>
              <w:textAlignment w:val="baseline"/>
              <w:outlineLvl w:val="1"/>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打“▲”号条款为重要技术参数（如有），若有部分“▲”条款未响应或不满足，将根据评审要求影响其得分，但不作为无效投标（响应）条款。</w:t>
            </w:r>
          </w:p>
        </w:tc>
      </w:tr>
    </w:tbl>
    <w:p w14:paraId="19FD2288">
      <w:pPr>
        <w:pStyle w:val="9"/>
        <w:spacing w:line="360" w:lineRule="auto"/>
        <w:jc w:val="left"/>
        <w:rPr>
          <w:rFonts w:hint="eastAsia" w:ascii="宋体" w:hAnsi="宋体" w:eastAsia="宋体" w:cs="宋体"/>
          <w:color w:val="auto"/>
          <w:sz w:val="24"/>
          <w:szCs w:val="24"/>
          <w:highlight w:val="none"/>
        </w:rPr>
      </w:pPr>
    </w:p>
    <w:p w14:paraId="67592C8A">
      <w:pPr>
        <w:pStyle w:val="3"/>
        <w:rPr>
          <w:color w:val="auto"/>
          <w:highlight w:val="none"/>
        </w:rPr>
      </w:pPr>
    </w:p>
    <w:sectPr>
      <w:footerReference r:id="rId4" w:type="default"/>
      <w:pgSz w:w="11906" w:h="16838"/>
      <w:pgMar w:top="1417" w:right="1191" w:bottom="1134"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94D88">
    <w:pPr>
      <w:pStyle w:val="8"/>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FEE3DCF">
                          <w:pPr>
                            <w:pStyle w:val="10"/>
                          </w:pPr>
                          <w:r>
                            <w:t xml:space="preserve">第 </w:t>
                          </w:r>
                          <w:r>
                            <w:fldChar w:fldCharType="begin"/>
                          </w:r>
                          <w:r>
                            <w:instrText xml:space="preserve"> PAGE  \* MERGEFORMAT </w:instrText>
                          </w:r>
                          <w:r>
                            <w:fldChar w:fldCharType="separate"/>
                          </w:r>
                          <w:r>
                            <w:t>5</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path/>
              <v:fill on="f" focussize="0,0"/>
              <v:stroke on="f"/>
              <v:imagedata o:title=""/>
              <o:lock v:ext="edit" aspectratio="f"/>
              <v:textbox inset="0mm,0mm,0mm,0mm" style="mso-fit-shape-to-text:t;">
                <w:txbxContent>
                  <w:p w14:paraId="4FEE3DCF">
                    <w:pPr>
                      <w:pStyle w:val="10"/>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8C73F">
    <w:pPr>
      <w:pStyle w:val="8"/>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20ACE66">
                          <w:pPr>
                            <w:pStyle w:val="10"/>
                          </w:pPr>
                          <w:r>
                            <w:t xml:space="preserve">第 </w:t>
                          </w:r>
                          <w:r>
                            <w:fldChar w:fldCharType="begin"/>
                          </w:r>
                          <w:r>
                            <w:instrText xml:space="preserve"> PAGE  \* MERGEFORMAT </w:instrText>
                          </w:r>
                          <w:r>
                            <w:fldChar w:fldCharType="separate"/>
                          </w:r>
                          <w:r>
                            <w:t>5</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620ACE66">
                    <w:pPr>
                      <w:pStyle w:val="10"/>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BD4625"/>
    <w:rsid w:val="4D876F47"/>
    <w:rsid w:val="6E3D3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4">
    <w:name w:val="Normal Indent"/>
    <w:basedOn w:val="1"/>
    <w:next w:val="1"/>
    <w:qFormat/>
    <w:uiPriority w:val="0"/>
    <w:pPr>
      <w:adjustRightInd w:val="0"/>
      <w:spacing w:line="312" w:lineRule="atLeast"/>
      <w:ind w:firstLine="420"/>
      <w:textAlignment w:val="baseline"/>
    </w:pPr>
    <w:rPr>
      <w:kern w:val="0"/>
      <w:sz w:val="20"/>
      <w:szCs w:val="20"/>
    </w:rPr>
  </w:style>
  <w:style w:type="paragraph" w:styleId="5">
    <w:name w:val="annotation text"/>
    <w:basedOn w:val="6"/>
    <w:next w:val="1"/>
    <w:unhideWhenUsed/>
    <w:qFormat/>
    <w:uiPriority w:val="0"/>
    <w:pPr>
      <w:jc w:val="left"/>
    </w:pPr>
  </w:style>
  <w:style w:type="paragraph" w:customStyle="1" w:styleId="6">
    <w:name w:val="正文_1"/>
    <w:next w:val="4"/>
    <w:qFormat/>
    <w:uiPriority w:val="0"/>
    <w:pPr>
      <w:widowControl w:val="0"/>
      <w:jc w:val="both"/>
    </w:pPr>
    <w:rPr>
      <w:rFonts w:ascii="Times New Roman" w:hAnsi="Times New Roman" w:eastAsia="宋体" w:cs="Calibri"/>
      <w:kern w:val="2"/>
      <w:sz w:val="21"/>
      <w:szCs w:val="21"/>
      <w:lang w:val="en-US" w:eastAsia="zh-CN" w:bidi="ar-SA"/>
    </w:rPr>
  </w:style>
  <w:style w:type="paragraph" w:styleId="7">
    <w:name w:val="index 6"/>
    <w:basedOn w:val="1"/>
    <w:next w:val="1"/>
    <w:qFormat/>
    <w:uiPriority w:val="0"/>
    <w:pPr>
      <w:ind w:left="2100"/>
    </w:pPr>
  </w:style>
  <w:style w:type="paragraph" w:styleId="8">
    <w:name w:val="Body Text"/>
    <w:basedOn w:val="1"/>
    <w:next w:val="1"/>
    <w:qFormat/>
    <w:uiPriority w:val="1"/>
    <w:rPr>
      <w:rFonts w:ascii="宋体" w:hAnsi="宋体" w:eastAsia="宋体" w:cs="宋体"/>
      <w:sz w:val="19"/>
      <w:szCs w:val="19"/>
      <w:lang w:val="zh-CN" w:bidi="zh-CN"/>
    </w:rPr>
  </w:style>
  <w:style w:type="paragraph" w:styleId="9">
    <w:name w:val="Plain Text"/>
    <w:basedOn w:val="1"/>
    <w:unhideWhenUsed/>
    <w:qFormat/>
    <w:uiPriority w:val="0"/>
    <w:pPr>
      <w:adjustRightInd w:val="0"/>
      <w:spacing w:line="360" w:lineRule="atLeast"/>
    </w:pPr>
    <w:rPr>
      <w:rFonts w:ascii="宋体" w:hAnsi="Courier New" w:eastAsia="宋体" w:cs="Courier New"/>
      <w:szCs w:val="21"/>
    </w:rPr>
  </w:style>
  <w:style w:type="paragraph" w:styleId="10">
    <w:name w:val="footer"/>
    <w:basedOn w:val="1"/>
    <w:unhideWhenUsed/>
    <w:qFormat/>
    <w:uiPriority w:val="99"/>
    <w:pPr>
      <w:tabs>
        <w:tab w:val="center" w:pos="4153"/>
        <w:tab w:val="right" w:pos="8306"/>
      </w:tabs>
      <w:snapToGrid w:val="0"/>
      <w:jc w:val="left"/>
    </w:pPr>
    <w:rPr>
      <w:sz w:val="18"/>
      <w:szCs w:val="18"/>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Default"/>
    <w:next w:val="7"/>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
    <w:name w:val="正文.表"/>
    <w:basedOn w:val="1"/>
    <w:qFormat/>
    <w:uiPriority w:val="0"/>
    <w:rPr>
      <w:kern w:val="0"/>
      <w:sz w:val="20"/>
      <w:szCs w:val="20"/>
    </w:rPr>
  </w:style>
  <w:style w:type="paragraph" w:customStyle="1" w:styleId="16">
    <w:name w:val="Norm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
    <w:name w:val="正文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8">
    <w:name w:val="font21"/>
    <w:basedOn w:val="13"/>
    <w:qFormat/>
    <w:uiPriority w:val="0"/>
    <w:rPr>
      <w:rFonts w:hint="eastAsia" w:ascii="宋体" w:hAnsi="宋体" w:eastAsia="宋体" w:cs="宋体"/>
      <w:color w:val="000000"/>
      <w:sz w:val="18"/>
      <w:szCs w:val="18"/>
      <w:u w:val="none"/>
    </w:rPr>
  </w:style>
  <w:style w:type="paragraph" w:customStyle="1" w:styleId="19">
    <w:name w:val="正文_0"/>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20">
    <w:name w:val="表格文字"/>
    <w:basedOn w:val="21"/>
    <w:next w:val="8"/>
    <w:qFormat/>
    <w:uiPriority w:val="0"/>
    <w:pPr>
      <w:spacing w:before="25" w:after="25"/>
      <w:jc w:val="left"/>
    </w:pPr>
    <w:rPr>
      <w:bCs/>
      <w:spacing w:val="10"/>
      <w:kern w:val="0"/>
      <w:sz w:val="24"/>
    </w:rPr>
  </w:style>
  <w:style w:type="paragraph" w:customStyle="1" w:styleId="21">
    <w:name w:val="正文 New New New New New New New New New New New New New New New New New New New New New New New New New New New New New New New New New New New New"/>
    <w:next w:val="2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4905</Words>
  <Characters>5261</Characters>
  <Lines>0</Lines>
  <Paragraphs>0</Paragraphs>
  <TotalTime>1</TotalTime>
  <ScaleCrop>false</ScaleCrop>
  <LinksUpToDate>false</LinksUpToDate>
  <CharactersWithSpaces>5272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2025-01-08T07:28:00Z</dcterms:created>
  <dc:creator>Administrator</dc:creator>
  <cp:lastModifiedBy>GDXC</cp:lastModifiedBy>
  <dcterms:modified xsi:type="dcterms:W3CDTF">2025-07-11T01:59:08Z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eyJoZGlkIjoiODkyYzFlYTQ2N2E3MTFmMmNjOTg5Y2UyNWMxMTA5MGMiLCJ1c2VySWQiOiIzMjE1ODcyNzcifQ==</vt:lpwstr>
  </property>
  <property fmtid="{D5CDD505-2E9C-101B-9397-08002B2CF9AE}" pid="4" name="ICV">
    <vt:lpwstr>CAF2E08D10644A4B9A3C92B1AA109DD1_12</vt:lpwstr>
  </property>
</Properties>
</file>